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CEB29">
      <w:pPr>
        <w:spacing w:line="288" w:lineRule="auto"/>
        <w:jc w:val="center"/>
        <w:rPr>
          <w:rFonts w:hint="eastAsia" w:ascii="黑体" w:hAnsi="黑体" w:eastAsia="黑体" w:cs="黑体"/>
          <w:b/>
          <w:sz w:val="28"/>
          <w:szCs w:val="28"/>
        </w:rPr>
      </w:pPr>
      <w:r>
        <w:rPr>
          <w:rFonts w:hint="eastAsia" w:ascii="黑体" w:hAnsi="黑体" w:eastAsia="黑体" w:cs="黑体"/>
          <w:b/>
          <w:sz w:val="28"/>
          <w:szCs w:val="28"/>
          <w:lang w:val="en-US" w:eastAsia="zh-CN"/>
        </w:rPr>
        <w:t>江苏省淮安市</w:t>
      </w:r>
      <w:r>
        <w:rPr>
          <w:rFonts w:hint="eastAsia" w:ascii="黑体" w:hAnsi="黑体" w:eastAsia="黑体" w:cs="黑体"/>
          <w:b/>
          <w:sz w:val="28"/>
          <w:szCs w:val="28"/>
        </w:rPr>
        <w:t>2024—2025学年度第一学期高三年级</w:t>
      </w:r>
    </w:p>
    <w:p w14:paraId="784C66B8">
      <w:pPr>
        <w:spacing w:line="288" w:lineRule="auto"/>
        <w:jc w:val="center"/>
        <w:rPr>
          <w:rFonts w:hint="eastAsia" w:ascii="黑体" w:hAnsi="黑体" w:eastAsia="黑体" w:cs="黑体"/>
          <w:b/>
          <w:sz w:val="28"/>
          <w:szCs w:val="28"/>
        </w:rPr>
      </w:pPr>
      <w:r>
        <w:rPr>
          <w:rFonts w:hint="eastAsia" w:ascii="黑体" w:hAnsi="黑体" w:eastAsia="黑体" w:cs="黑体"/>
          <w:b/>
          <w:sz w:val="28"/>
          <w:szCs w:val="28"/>
        </w:rPr>
        <w:t>第一次调研测试历史试题</w:t>
      </w:r>
      <w:bookmarkStart w:name="_GoBack" w:id="0"/>
      <w:bookmarkEnd w:id="0"/>
    </w:p>
    <w:p w14:paraId="0485841B">
      <w:pPr>
        <w:spacing w:line="288" w:lineRule="auto"/>
        <w:jc w:val="right"/>
        <w:rPr>
          <w:rFonts w:hint="eastAsia" w:ascii="宋体" w:hAnsi="宋体"/>
          <w:b/>
          <w:sz w:val="24"/>
        </w:rPr>
      </w:pPr>
      <w:r>
        <w:rPr>
          <w:rFonts w:hint="eastAsia" w:ascii="宋体" w:hAnsi="宋体"/>
          <w:b/>
          <w:sz w:val="24"/>
        </w:rPr>
        <w:t>2024.11</w:t>
      </w:r>
    </w:p>
    <w:p w14:paraId="0E3C824B">
      <w:pPr>
        <w:spacing w:line="288" w:lineRule="auto"/>
        <w:rPr>
          <w:rFonts w:hint="eastAsia" w:ascii="黑体" w:hAnsi="黑体" w:eastAsia="黑体" w:cs="黑体"/>
          <w:b w:val="0"/>
          <w:bCs/>
          <w:sz w:val="21"/>
          <w:szCs w:val="21"/>
        </w:rPr>
      </w:pPr>
      <w:r>
        <w:rPr>
          <w:rFonts w:hint="eastAsia" w:ascii="黑体" w:hAnsi="黑体" w:eastAsia="黑体" w:cs="黑体"/>
          <w:b w:val="0"/>
          <w:bCs/>
          <w:sz w:val="21"/>
          <w:szCs w:val="21"/>
        </w:rPr>
        <w:t>注意事项</w:t>
      </w:r>
    </w:p>
    <w:p w14:paraId="7E00AEBB">
      <w:pPr>
        <w:spacing w:line="288" w:lineRule="auto"/>
        <w:rPr>
          <w:rFonts w:hint="eastAsia" w:ascii="黑体" w:hAnsi="黑体" w:eastAsia="黑体" w:cs="黑体"/>
          <w:b w:val="0"/>
          <w:bCs/>
          <w:sz w:val="21"/>
          <w:szCs w:val="21"/>
        </w:rPr>
      </w:pPr>
      <w:r>
        <w:rPr>
          <w:rFonts w:hint="eastAsia" w:ascii="黑体" w:hAnsi="黑体" w:eastAsia="黑体" w:cs="黑体"/>
          <w:b w:val="0"/>
          <w:bCs/>
          <w:sz w:val="21"/>
          <w:szCs w:val="21"/>
        </w:rPr>
        <w:t>在答题前请认真阅读本注意事项及各题答题要求。</w:t>
      </w:r>
    </w:p>
    <w:p w14:paraId="5BD294A1">
      <w:pPr>
        <w:spacing w:line="288" w:lineRule="auto"/>
        <w:rPr>
          <w:rFonts w:hint="eastAsia" w:ascii="黑体" w:hAnsi="黑体" w:eastAsia="黑体" w:cs="黑体"/>
          <w:b w:val="0"/>
          <w:bCs/>
          <w:sz w:val="21"/>
          <w:szCs w:val="21"/>
        </w:rPr>
      </w:pPr>
      <w:r>
        <w:rPr>
          <w:rFonts w:hint="eastAsia" w:ascii="黑体" w:hAnsi="黑体" w:eastAsia="黑体" w:cs="黑体"/>
          <w:b w:val="0"/>
          <w:bCs/>
          <w:sz w:val="21"/>
          <w:szCs w:val="21"/>
        </w:rPr>
        <w:t>1.本试卷共6页。本次考试满分为100分，考试时间为75分钟。</w:t>
      </w:r>
    </w:p>
    <w:p w14:paraId="63A7C4DB">
      <w:pPr>
        <w:spacing w:line="288" w:lineRule="auto"/>
        <w:rPr>
          <w:rFonts w:hint="eastAsia" w:ascii="黑体" w:hAnsi="黑体" w:eastAsia="黑体" w:cs="黑体"/>
          <w:b w:val="0"/>
          <w:bCs/>
          <w:sz w:val="21"/>
          <w:szCs w:val="21"/>
        </w:rPr>
      </w:pPr>
      <w:r>
        <w:rPr>
          <w:rFonts w:hint="eastAsia" w:ascii="黑体" w:hAnsi="黑体" w:eastAsia="黑体" w:cs="黑体"/>
          <w:b w:val="0"/>
          <w:bCs/>
          <w:sz w:val="21"/>
          <w:szCs w:val="21"/>
        </w:rPr>
        <w:t>2.答题前，请务必将自己的姓名、考试号等用0.5毫米的黑色签字笔填写在答题卡上。</w:t>
      </w:r>
    </w:p>
    <w:p w14:paraId="214ABD84">
      <w:pPr>
        <w:spacing w:line="288" w:lineRule="auto"/>
        <w:rPr>
          <w:rFonts w:hint="eastAsia" w:ascii="黑体" w:hAnsi="黑体" w:eastAsia="黑体" w:cs="黑体"/>
          <w:b w:val="0"/>
          <w:bCs/>
          <w:sz w:val="21"/>
          <w:szCs w:val="21"/>
        </w:rPr>
      </w:pPr>
      <w:r>
        <w:rPr>
          <w:rFonts w:hint="eastAsia" w:ascii="黑体" w:hAnsi="黑体" w:eastAsia="黑体" w:cs="黑体"/>
          <w:b w:val="0"/>
          <w:bCs/>
          <w:sz w:val="21"/>
          <w:szCs w:val="21"/>
        </w:rPr>
        <w:t>3.请认真核对答题卡表头规定填写或填涂的项目是否正确。</w:t>
      </w:r>
    </w:p>
    <w:p w14:paraId="3103A676">
      <w:pPr>
        <w:spacing w:line="288" w:lineRule="auto"/>
        <w:rPr>
          <w:rFonts w:ascii="宋体" w:hAnsi="宋体"/>
          <w:b/>
          <w:sz w:val="24"/>
        </w:rPr>
      </w:pPr>
      <w:r>
        <w:rPr>
          <w:rFonts w:hint="eastAsia" w:ascii="黑体" w:hAnsi="黑体" w:eastAsia="黑体" w:cs="黑体"/>
          <w:b w:val="0"/>
          <w:bCs/>
          <w:sz w:val="21"/>
          <w:szCs w:val="21"/>
        </w:rPr>
        <w:t>4.作答非选择题必须用0.5毫米的黑色签字笔写在答题卡上的指定位置，在其他位置作答一律无效。作答选择题必须用2B铅笔把答题卡上对应题目的答案标号涂黑。如需改动，请用橡皮擦干净后，再选涂其他答案。</w:t>
      </w:r>
    </w:p>
    <w:p w14:paraId="2AC6EC80">
      <w:pPr>
        <w:spacing w:line="288" w:lineRule="auto"/>
        <w:rPr>
          <w:rFonts w:hint="eastAsia" w:ascii="黑体" w:hAnsi="黑体" w:eastAsia="黑体" w:cs="黑体"/>
          <w:b/>
          <w:sz w:val="21"/>
          <w:szCs w:val="21"/>
        </w:rPr>
      </w:pPr>
      <w:r>
        <w:rPr>
          <w:rFonts w:hint="eastAsia" w:ascii="黑体" w:hAnsi="黑体" w:eastAsia="黑体" w:cs="黑体"/>
          <w:b/>
          <w:sz w:val="21"/>
          <w:szCs w:val="21"/>
        </w:rPr>
        <w:t>一、选择题：本大题共15题，每题分，共45分。在每小题列出的四个选项中，只有一项是最符合题目要求的。</w:t>
      </w:r>
    </w:p>
    <w:p w14:paraId="3662ADE7">
      <w:pPr>
        <w:spacing w:line="288" w:lineRule="auto"/>
        <w:rPr>
          <w:rFonts w:hint="eastAsia" w:ascii="宋体" w:hAnsi="宋体"/>
        </w:rPr>
      </w:pPr>
      <w:r>
        <w:rPr>
          <w:rFonts w:hint="eastAsia" w:ascii="宋体" w:hAnsi="宋体"/>
        </w:rPr>
        <w:t>1.关于尧舜的权力更替，成书于战国的《竹书纪年》中说尧晚年失去了德行，“为舜所囚也”,舜取得帝位。司马迁《史记·五帝本纪》载“尧知子丹朱之不肖，不足授天下，于是乃权授舜”。以上两种不同的叙述说明</w:t>
      </w:r>
    </w:p>
    <w:p w14:paraId="69B329D9">
      <w:pPr>
        <w:spacing w:line="288" w:lineRule="auto"/>
        <w:ind w:firstLine="210" w:firstLineChars="100"/>
        <w:rPr>
          <w:rFonts w:hint="eastAsia" w:ascii="宋体" w:hAnsi="宋体"/>
        </w:rPr>
      </w:pPr>
      <w:r>
        <w:rPr>
          <w:rFonts w:hint="eastAsia" w:ascii="宋体" w:hAnsi="宋体"/>
        </w:rPr>
        <w:t>A.尧舜更替的真相无法考证            B.时间远近造成书写的差异</w:t>
      </w:r>
    </w:p>
    <w:p w14:paraId="4CA9BA98">
      <w:pPr>
        <w:spacing w:line="288" w:lineRule="auto"/>
        <w:ind w:firstLine="210" w:firstLineChars="100"/>
        <w:rPr>
          <w:rFonts w:hint="eastAsia" w:ascii="宋体" w:hAnsi="宋体"/>
        </w:rPr>
      </w:pPr>
      <w:r>
        <w:rPr>
          <w:rFonts w:hint="eastAsia" w:ascii="宋体" w:hAnsi="宋体"/>
        </w:rPr>
        <w:t>C.尧舜时期开启了以德治国            D.时代变迁影响历史的书写</w:t>
      </w:r>
    </w:p>
    <w:p w14:paraId="33700706">
      <w:pPr>
        <w:spacing w:line="288" w:lineRule="auto"/>
        <w:rPr>
          <w:rFonts w:hint="eastAsia" w:ascii="宋体" w:hAnsi="宋体"/>
        </w:rPr>
      </w:pPr>
      <w:r>
        <w:rPr>
          <w:rFonts w:hint="eastAsia" w:ascii="宋体" w:hAnsi="宋体"/>
        </w:rPr>
        <w:t>2.汉昭帝始元六年(公元前81年),御史大夫桑弘羊等与郡国举荐的贤良文学派进行了辩论。贤良文学派提出盐铁官营、均输等“与民争利”,且造成“盐铁贾贵，百姓不便”。桑弘羊则认为兴盐铁、置均输平准，“以佐助边费”,堵塞豪强兼并之路，且可济民救灾，有益于民。这场辩论</w:t>
      </w:r>
    </w:p>
    <w:p w14:paraId="5691251F">
      <w:pPr>
        <w:spacing w:line="288" w:lineRule="auto"/>
        <w:ind w:firstLine="210" w:firstLineChars="100"/>
        <w:rPr>
          <w:rFonts w:hint="eastAsia" w:ascii="宋体" w:hAnsi="宋体"/>
        </w:rPr>
      </w:pPr>
      <w:r>
        <w:rPr>
          <w:rFonts w:hint="eastAsia" w:ascii="宋体" w:hAnsi="宋体"/>
        </w:rPr>
        <w:t xml:space="preserve">A.推动了盐铁官营的实施           </w:t>
      </w:r>
      <w:r>
        <w:rPr>
          <w:rFonts w:ascii="宋体" w:hAnsi="宋体"/>
        </w:rPr>
        <w:t xml:space="preserve">  </w:t>
      </w:r>
      <w:r>
        <w:rPr>
          <w:rFonts w:hint="eastAsia" w:ascii="宋体" w:hAnsi="宋体"/>
        </w:rPr>
        <w:t xml:space="preserve"> B.有助于评估当时经济政策</w:t>
      </w:r>
    </w:p>
    <w:p w14:paraId="4A2CFF6B">
      <w:pPr>
        <w:spacing w:line="288" w:lineRule="auto"/>
        <w:ind w:firstLine="210" w:firstLineChars="100"/>
        <w:rPr>
          <w:rFonts w:hint="eastAsia" w:ascii="宋体" w:hAnsi="宋体"/>
        </w:rPr>
      </w:pPr>
      <w:r>
        <w:rPr>
          <w:rFonts w:hint="eastAsia" w:ascii="宋体" w:hAnsi="宋体"/>
        </w:rPr>
        <w:t xml:space="preserve">C.引起“党锢之祸”发生           </w:t>
      </w:r>
      <w:r>
        <w:rPr>
          <w:rFonts w:ascii="宋体" w:hAnsi="宋体"/>
        </w:rPr>
        <w:t xml:space="preserve">  </w:t>
      </w:r>
      <w:r>
        <w:rPr>
          <w:rFonts w:hint="eastAsia" w:ascii="宋体" w:hAnsi="宋体"/>
        </w:rPr>
        <w:t xml:space="preserve"> D.折射出汉代选官制度弊端</w:t>
      </w:r>
    </w:p>
    <w:p w14:paraId="11DC11A2">
      <w:pPr>
        <w:spacing w:line="288" w:lineRule="auto"/>
        <w:rPr>
          <w:rFonts w:hint="eastAsia" w:ascii="宋体" w:hAnsi="宋体"/>
        </w:rPr>
      </w:pPr>
      <w:r>
        <w:rPr>
          <w:rFonts w:hint="eastAsia" w:ascii="宋体" w:hAnsi="宋体"/>
        </w:rPr>
        <w:t>3.隋开皇三年，度支尚书长孙平建议“令诸州百姓及军人，劝课当社，共立义仓”,文帝遂依其议诏立义仓。而开皇十五年又诏书“北境诸州，异于余处，灵、夏、甘、瓜等十一州，所有义仓杂种，并纳本州。”这一改革旨在</w:t>
      </w:r>
    </w:p>
    <w:p w14:paraId="7AA98E4D">
      <w:pPr>
        <w:spacing w:line="288" w:lineRule="auto"/>
        <w:ind w:firstLine="210" w:firstLineChars="100"/>
        <w:rPr>
          <w:rFonts w:hint="eastAsia" w:ascii="宋体" w:hAnsi="宋体"/>
        </w:rPr>
      </w:pPr>
      <w:r>
        <w:rPr>
          <w:rFonts w:hint="eastAsia" w:ascii="宋体" w:hAnsi="宋体"/>
        </w:rPr>
        <w:t>A.削弱地方郡县的割据力量            B.增强北方地区的社会救济</w:t>
      </w:r>
    </w:p>
    <w:p w14:paraId="5A7761E8">
      <w:pPr>
        <w:spacing w:line="288" w:lineRule="auto"/>
        <w:ind w:firstLine="210" w:firstLineChars="100"/>
        <w:rPr>
          <w:rFonts w:hint="eastAsia" w:ascii="宋体" w:hAnsi="宋体"/>
        </w:rPr>
      </w:pPr>
      <w:r>
        <w:rPr>
          <w:rFonts w:hint="eastAsia" w:ascii="宋体" w:hAnsi="宋体"/>
        </w:rPr>
        <w:t>C.维持征伐高丽的军事用度            D.鼓励社会力量的赈济活动</w:t>
      </w:r>
    </w:p>
    <w:p w14:paraId="253B325F">
      <w:pPr>
        <w:spacing w:line="288" w:lineRule="auto"/>
        <w:rPr>
          <w:rFonts w:hint="eastAsia" w:ascii="宋体" w:hAnsi="宋体"/>
        </w:rPr>
      </w:pPr>
      <w:r>
        <w:rPr>
          <w:rFonts w:hint="eastAsia" w:ascii="宋体" w:hAnsi="宋体"/>
        </w:rPr>
        <w:t>4.明代嘉靖年间，郑若曾(1503年—1570年)在《沿海山沙图》中详细绘制了从广东沿海到辽东一线的海防设施，在《江防图》绘制了长江口的金山卫到江西瑞昌一线的江防设施、哨所驻地等，在《湖防图》中绘制了太湖周边的港渎及其防备情况。这些绘图的背景是</w:t>
      </w:r>
    </w:p>
    <w:p w14:paraId="7D8B3A28">
      <w:pPr>
        <w:spacing w:line="288" w:lineRule="auto"/>
        <w:ind w:firstLine="210" w:firstLineChars="100"/>
        <w:rPr>
          <w:rFonts w:hint="eastAsia" w:ascii="宋体" w:hAnsi="宋体"/>
        </w:rPr>
      </w:pPr>
      <w:r>
        <w:rPr>
          <w:rFonts w:hint="eastAsia" w:ascii="宋体" w:hAnsi="宋体"/>
        </w:rPr>
        <w:t xml:space="preserve">A.倭寇骚扰活动的猖獗          </w:t>
      </w:r>
      <w:r>
        <w:rPr>
          <w:rFonts w:ascii="宋体" w:hAnsi="宋体"/>
        </w:rPr>
        <w:t xml:space="preserve">    </w:t>
      </w:r>
      <w:r>
        <w:rPr>
          <w:rFonts w:hint="eastAsia" w:ascii="宋体" w:hAnsi="宋体"/>
        </w:rPr>
        <w:t xml:space="preserve">  B.欧洲殖民活动的加剧</w:t>
      </w:r>
    </w:p>
    <w:p w14:paraId="1975347D">
      <w:pPr>
        <w:spacing w:line="288" w:lineRule="auto"/>
        <w:ind w:firstLine="210" w:firstLineChars="100"/>
        <w:rPr>
          <w:rFonts w:hint="eastAsia" w:ascii="宋体" w:hAnsi="宋体"/>
        </w:rPr>
      </w:pPr>
      <w:r>
        <w:rPr>
          <w:rFonts w:hint="eastAsia" w:ascii="宋体" w:hAnsi="宋体"/>
        </w:rPr>
        <w:t xml:space="preserve">C.国内农民起义的蜂起           </w:t>
      </w:r>
      <w:r>
        <w:rPr>
          <w:rFonts w:ascii="宋体" w:hAnsi="宋体"/>
        </w:rPr>
        <w:t xml:space="preserve">    </w:t>
      </w:r>
      <w:r>
        <w:rPr>
          <w:rFonts w:hint="eastAsia" w:ascii="宋体" w:hAnsi="宋体"/>
        </w:rPr>
        <w:t xml:space="preserve"> D.全国贸易网络的联通</w:t>
      </w:r>
    </w:p>
    <w:p w14:paraId="78ABE736">
      <w:pPr>
        <w:spacing w:line="288" w:lineRule="auto"/>
        <w:rPr>
          <w:rFonts w:hint="eastAsia" w:ascii="宋体" w:hAnsi="宋体"/>
        </w:rPr>
      </w:pPr>
      <w:r>
        <w:rPr>
          <w:rFonts w:hint="eastAsia" w:ascii="宋体" w:hAnsi="宋体"/>
        </w:rPr>
        <w:t>5.据史料载，秦代都城咸阳的布局是将渭水对应银河，将咸阳宫对应紫微垣，将其他宫室、国家机构对应相应的星座位置；西汉长安城的建设也模仿了紫微垣的形状；清乾隆帝在《皇都篇》中曾写到北京“上应帝车曰开阳”,意思是北京城对应北斗七星中的开阳星。由此可见，中国古代都城的布局</w:t>
      </w:r>
    </w:p>
    <w:p w14:paraId="7CB63D47">
      <w:pPr>
        <w:spacing w:line="288" w:lineRule="auto"/>
        <w:ind w:firstLine="210" w:firstLineChars="100"/>
        <w:rPr>
          <w:rFonts w:hint="eastAsia" w:ascii="宋体" w:hAnsi="宋体"/>
        </w:rPr>
      </w:pPr>
      <w:r>
        <w:rPr>
          <w:rFonts w:hint="eastAsia" w:ascii="宋体" w:hAnsi="宋体"/>
        </w:rPr>
        <w:t>A.体现了君权神授的唯物思想          B.反映了和而不同的文明特色</w:t>
      </w:r>
    </w:p>
    <w:p w14:paraId="7FEB4FE8">
      <w:pPr>
        <w:spacing w:line="288" w:lineRule="auto"/>
        <w:ind w:firstLine="210" w:firstLineChars="100"/>
        <w:rPr>
          <w:rFonts w:hint="eastAsia" w:ascii="宋体" w:hAnsi="宋体"/>
        </w:rPr>
      </w:pPr>
      <w:r>
        <w:rPr>
          <w:rFonts w:hint="eastAsia" w:ascii="宋体" w:hAnsi="宋体"/>
        </w:rPr>
        <w:t>C.蕴含了敬天法祖的价值取向          D.彰显了中华文化的绵延相承</w:t>
      </w:r>
    </w:p>
    <w:p w14:paraId="0292D3E3">
      <w:pPr>
        <w:spacing w:line="288" w:lineRule="auto"/>
        <w:rPr>
          <w:rFonts w:hint="eastAsia" w:ascii="宋体" w:hAnsi="宋体"/>
        </w:rPr>
      </w:pPr>
      <w:r>
        <w:rPr>
          <w:rFonts w:hint="eastAsia" w:ascii="宋体" w:hAnsi="宋体"/>
        </w:rPr>
        <w:t>6.从中华民国成立到1913年10月袁世凯就任正式大总统，中国出现了数百个政党，存在以下现象：第一，有完整纲领的较少，且纲领内容雷同；第二，党员跨党现象比较普遍，如黄兴有十一个党籍，黎元洪跨了九党等；第三，各党普遍采取以金钱收买选票。这些现象反映出当时</w:t>
      </w:r>
    </w:p>
    <w:p w14:paraId="624C43BA">
      <w:pPr>
        <w:spacing w:line="288" w:lineRule="auto"/>
        <w:ind w:firstLine="210" w:firstLineChars="100"/>
        <w:rPr>
          <w:rFonts w:hint="eastAsia" w:ascii="宋体" w:hAnsi="宋体"/>
        </w:rPr>
      </w:pPr>
      <w:r>
        <w:rPr>
          <w:rFonts w:hint="eastAsia" w:ascii="宋体" w:hAnsi="宋体"/>
        </w:rPr>
        <w:t xml:space="preserve">A.政党制度名存实亡           </w:t>
      </w:r>
      <w:r>
        <w:rPr>
          <w:rFonts w:ascii="宋体" w:hAnsi="宋体"/>
        </w:rPr>
        <w:t xml:space="preserve">      </w:t>
      </w:r>
      <w:r>
        <w:rPr>
          <w:rFonts w:hint="eastAsia" w:ascii="宋体" w:hAnsi="宋体"/>
        </w:rPr>
        <w:t xml:space="preserve"> B.军阀统治分崩离析</w:t>
      </w:r>
    </w:p>
    <w:p w14:paraId="2B18896A">
      <w:pPr>
        <w:spacing w:line="288" w:lineRule="auto"/>
        <w:ind w:firstLine="210" w:firstLineChars="100"/>
        <w:rPr>
          <w:rFonts w:hint="eastAsia" w:ascii="宋体" w:hAnsi="宋体"/>
        </w:rPr>
      </w:pPr>
      <w:r>
        <w:rPr>
          <w:rFonts w:hint="eastAsia" w:ascii="宋体" w:hAnsi="宋体"/>
        </w:rPr>
        <w:t xml:space="preserve">C.共和制度背离国情            </w:t>
      </w:r>
      <w:r>
        <w:rPr>
          <w:rFonts w:ascii="宋体" w:hAnsi="宋体"/>
        </w:rPr>
        <w:t xml:space="preserve">      </w:t>
      </w:r>
      <w:r>
        <w:rPr>
          <w:rFonts w:hint="eastAsia" w:ascii="宋体" w:hAnsi="宋体"/>
        </w:rPr>
        <w:t>D.政党政治基础薄弱</w:t>
      </w:r>
    </w:p>
    <w:p w14:paraId="54EAE3AC">
      <w:pPr>
        <w:spacing w:line="288" w:lineRule="auto"/>
        <w:rPr>
          <w:rFonts w:hint="eastAsia" w:ascii="宋体" w:hAnsi="宋体"/>
        </w:rPr>
      </w:pPr>
      <w:r>
        <w:rPr>
          <w:rFonts w:hint="eastAsia" w:ascii="宋体" w:hAnsi="宋体"/>
        </w:rPr>
        <w:t>7.最初，传入中国的马克思主义是零星的、片段的，绝大部分是转译自日本学者研究社会主义的著作。后来，各种期刊大量宣传并开始系统地介绍马克思主义，对马克思主义经典著作的完整翻译和出版也付诸行动。上述变化出现的主要原因是</w:t>
      </w:r>
    </w:p>
    <w:p w14:paraId="28E111CB">
      <w:pPr>
        <w:spacing w:line="288" w:lineRule="auto"/>
        <w:ind w:firstLine="210" w:firstLineChars="100"/>
        <w:rPr>
          <w:rFonts w:hint="eastAsia" w:ascii="宋体" w:hAnsi="宋体"/>
        </w:rPr>
      </w:pPr>
      <w:r>
        <w:rPr>
          <w:rFonts w:hint="eastAsia" w:ascii="宋体" w:hAnsi="宋体"/>
        </w:rPr>
        <w:t>A.新文化运动弘扬民主科学思想        B.五四运动推动新思想的传播</w:t>
      </w:r>
    </w:p>
    <w:p w14:paraId="60472160">
      <w:pPr>
        <w:spacing w:line="288" w:lineRule="auto"/>
        <w:ind w:firstLine="210" w:firstLineChars="100"/>
        <w:rPr>
          <w:rFonts w:hint="eastAsia" w:ascii="宋体" w:hAnsi="宋体"/>
        </w:rPr>
      </w:pPr>
      <w:r>
        <w:rPr>
          <w:rFonts w:hint="eastAsia" w:ascii="宋体" w:hAnsi="宋体"/>
        </w:rPr>
        <w:t>C.中国共产党大力开展工人运动        D.孙中山发展了三民主义思想</w:t>
      </w:r>
    </w:p>
    <w:p w14:paraId="42805066">
      <w:pPr>
        <w:spacing w:line="288" w:lineRule="auto"/>
        <w:rPr>
          <w:rFonts w:hint="eastAsia" w:ascii="宋体" w:hAnsi="宋体"/>
        </w:rPr>
      </w:pPr>
      <w:r>
        <w:rPr>
          <w:rFonts w:hint="eastAsia" w:ascii="宋体" w:hAnsi="宋体"/>
        </w:rPr>
        <w:t>8.1947年6月，南京中央大学“五·二〇”血案处理委员会编辑了《“五·二〇”血案画集》,图1《团结就是力量》是其中一幅漫画，该漫画反映</w:t>
      </w:r>
    </w:p>
    <w:p w14:paraId="3BF03375">
      <w:pPr>
        <w:spacing w:line="288" w:lineRule="auto"/>
        <w:jc w:val="center"/>
        <w:rPr>
          <w:rFonts w:ascii="宋体" w:hAnsi="宋体"/>
        </w:rPr>
      </w:pPr>
      <w:r>
        <w:rPr>
          <w:rFonts w:ascii="宋体" w:hAnsi="宋体"/>
        </w:rPr>
        <w:drawing>
          <wp:inline distT="0" distB="0" distL="0" distR="0">
            <wp:extent cx="3328035" cy="2199005"/>
            <wp:effectExtent l="0" t="0" r="5715" b="0"/>
            <wp:docPr id="2" name="图片 2" descr="C:\Users\58393\Documents\Tencent Files\583932969\FileRecv\MobileFile\Image\MQ3P6LW}XK}P370L3Q4XE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58393\Documents\Tencent Files\583932969\FileRecv\MobileFile\Image\MQ3P6LW}XK}P370L3Q4XE1G.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3346865" cy="2211815"/>
                    </a:xfrm>
                    <a:prstGeom prst="rect">
                      <a:avLst/>
                    </a:prstGeom>
                    <a:noFill/>
                    <a:ln>
                      <a:noFill/>
                    </a:ln>
                  </pic:spPr>
                </pic:pic>
              </a:graphicData>
            </a:graphic>
          </wp:inline>
        </w:drawing>
      </w:r>
    </w:p>
    <w:p w14:paraId="5173E152">
      <w:pPr>
        <w:spacing w:line="288" w:lineRule="auto"/>
        <w:ind w:firstLine="210" w:firstLineChars="100"/>
        <w:rPr>
          <w:rFonts w:hint="eastAsia" w:ascii="宋体" w:hAnsi="宋体"/>
        </w:rPr>
      </w:pPr>
      <w:r>
        <w:rPr>
          <w:rFonts w:hint="eastAsia" w:ascii="宋体" w:hAnsi="宋体"/>
        </w:rPr>
        <w:t xml:space="preserve">A.无产阶级登上了政治舞台          </w:t>
      </w:r>
      <w:r>
        <w:rPr>
          <w:rFonts w:ascii="宋体" w:hAnsi="宋体"/>
        </w:rPr>
        <w:t xml:space="preserve">  </w:t>
      </w:r>
      <w:r>
        <w:rPr>
          <w:rFonts w:hint="eastAsia" w:ascii="宋体" w:hAnsi="宋体"/>
        </w:rPr>
        <w:t>B.全民族抗战局面的形成</w:t>
      </w:r>
    </w:p>
    <w:p w14:paraId="60F98EEB">
      <w:pPr>
        <w:spacing w:line="288" w:lineRule="auto"/>
        <w:ind w:firstLine="210" w:firstLineChars="100"/>
        <w:rPr>
          <w:rFonts w:hint="eastAsia" w:ascii="宋体" w:hAnsi="宋体"/>
        </w:rPr>
      </w:pPr>
      <w:r>
        <w:rPr>
          <w:rFonts w:hint="eastAsia" w:ascii="宋体" w:hAnsi="宋体"/>
        </w:rPr>
        <w:t xml:space="preserve">C.工农联盟推动了国民革命         </w:t>
      </w:r>
      <w:r>
        <w:rPr>
          <w:rFonts w:ascii="宋体" w:hAnsi="宋体"/>
        </w:rPr>
        <w:t xml:space="preserve">  </w:t>
      </w:r>
      <w:r>
        <w:rPr>
          <w:rFonts w:hint="eastAsia" w:ascii="宋体" w:hAnsi="宋体"/>
        </w:rPr>
        <w:t xml:space="preserve"> D.国统区形成第二条战线</w:t>
      </w:r>
    </w:p>
    <w:p w14:paraId="6E85412C">
      <w:pPr>
        <w:spacing w:line="288" w:lineRule="auto"/>
        <w:rPr>
          <w:rFonts w:hint="eastAsia" w:ascii="宋体" w:hAnsi="宋体"/>
        </w:rPr>
      </w:pPr>
      <w:r>
        <w:rPr>
          <w:rFonts w:hint="eastAsia" w:ascii="宋体" w:hAnsi="宋体"/>
        </w:rPr>
        <w:t>9.1950年1月，英国在西方国家中率先承认新中国，希望与新中国建立外交关系。1950年3月中英建交谈判在北京拉开帷幕，到10月，英国对华政策趋于消极。直到1954年4月英方表示愿意改善中英关系，双方重启谈判，于6月宣布建立代办级外交关系。由此判断，造成中英谈判进程中断的事件是</w:t>
      </w:r>
    </w:p>
    <w:p w14:paraId="6D5388BB">
      <w:pPr>
        <w:spacing w:line="288" w:lineRule="auto"/>
        <w:ind w:firstLine="210" w:firstLineChars="100"/>
        <w:rPr>
          <w:rFonts w:hint="eastAsia" w:ascii="宋体" w:hAnsi="宋体"/>
        </w:rPr>
      </w:pPr>
      <w:r>
        <w:rPr>
          <w:rFonts w:hint="eastAsia" w:ascii="宋体" w:hAnsi="宋体"/>
        </w:rPr>
        <w:t xml:space="preserve">A.朝鲜战争的扩大           </w:t>
      </w:r>
      <w:r>
        <w:rPr>
          <w:rFonts w:ascii="宋体" w:hAnsi="宋体"/>
        </w:rPr>
        <w:t xml:space="preserve">        </w:t>
      </w:r>
      <w:r>
        <w:rPr>
          <w:rFonts w:hint="eastAsia" w:ascii="宋体" w:hAnsi="宋体"/>
        </w:rPr>
        <w:t xml:space="preserve"> B.北约组织的建立</w:t>
      </w:r>
    </w:p>
    <w:p w14:paraId="2F5D3677">
      <w:pPr>
        <w:spacing w:line="288" w:lineRule="auto"/>
        <w:ind w:firstLine="210" w:firstLineChars="100"/>
        <w:rPr>
          <w:rFonts w:ascii="宋体" w:hAnsi="宋体"/>
        </w:rPr>
      </w:pPr>
      <w:r>
        <w:rPr>
          <w:rFonts w:hint="eastAsia" w:ascii="宋体" w:hAnsi="宋体"/>
        </w:rPr>
        <w:t xml:space="preserve">C.万隆会议的召开            </w:t>
      </w:r>
      <w:r>
        <w:rPr>
          <w:rFonts w:ascii="宋体" w:hAnsi="宋体"/>
        </w:rPr>
        <w:t xml:space="preserve">        </w:t>
      </w:r>
      <w:r>
        <w:rPr>
          <w:rFonts w:hint="eastAsia" w:ascii="宋体" w:hAnsi="宋体"/>
        </w:rPr>
        <w:t>D.美苏冷战的发生</w:t>
      </w:r>
    </w:p>
    <w:p w14:paraId="3E667EBD">
      <w:pPr>
        <w:spacing w:line="288" w:lineRule="auto"/>
        <w:rPr>
          <w:rFonts w:hint="eastAsia" w:ascii="宋体" w:hAnsi="宋体"/>
        </w:rPr>
      </w:pPr>
      <w:r>
        <w:rPr>
          <w:rFonts w:hint="eastAsia" w:ascii="宋体" w:hAnsi="宋体"/>
        </w:rPr>
        <w:t>l0.图2为我国1953—2008年国内生产总值增速示意图，其中CD、EF两段数据增长的共同原因是</w:t>
      </w:r>
    </w:p>
    <w:p w14:paraId="2D486805">
      <w:pPr>
        <w:spacing w:line="288" w:lineRule="auto"/>
        <w:jc w:val="center"/>
        <w:rPr>
          <w:rFonts w:ascii="宋体" w:hAnsi="宋体"/>
        </w:rPr>
      </w:pPr>
      <w:r>
        <w:rPr>
          <w:rFonts w:ascii="宋体" w:hAnsi="宋体"/>
        </w:rPr>
        <w:drawing>
          <wp:inline distT="0" distB="0" distL="0" distR="0">
            <wp:extent cx="3939540" cy="1828800"/>
            <wp:effectExtent l="0" t="0" r="3810" b="0"/>
            <wp:docPr id="3" name="图片 3" descr="C:\Users\58393\Documents\Tencent Files\583932969\FileRecv\MobileFile\Image\OG32LV{0{XRJIAIQKY5[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58393\Documents\Tencent Files\583932969\FileRecv\MobileFile\Image\OG32LV{0{XRJIAIQKY5[Q@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1155" cy="1843444"/>
                    </a:xfrm>
                    <a:prstGeom prst="rect">
                      <a:avLst/>
                    </a:prstGeom>
                    <a:noFill/>
                    <a:ln>
                      <a:noFill/>
                    </a:ln>
                  </pic:spPr>
                </pic:pic>
              </a:graphicData>
            </a:graphic>
          </wp:inline>
        </w:drawing>
      </w:r>
    </w:p>
    <w:p w14:paraId="658BCCA9">
      <w:pPr>
        <w:spacing w:line="288" w:lineRule="auto"/>
        <w:jc w:val="center"/>
        <w:rPr>
          <w:rFonts w:hint="eastAsia" w:ascii="宋体" w:hAnsi="宋体"/>
        </w:rPr>
      </w:pPr>
      <w:r>
        <w:rPr>
          <w:rFonts w:hint="eastAsia" w:ascii="宋体" w:hAnsi="宋体"/>
        </w:rPr>
        <w:t>图2</w:t>
      </w:r>
    </w:p>
    <w:p w14:paraId="71642EE5">
      <w:pPr>
        <w:spacing w:line="288" w:lineRule="auto"/>
        <w:ind w:firstLine="210" w:firstLineChars="100"/>
        <w:rPr>
          <w:rFonts w:hint="eastAsia" w:ascii="宋体" w:hAnsi="宋体"/>
        </w:rPr>
      </w:pPr>
      <w:r>
        <w:rPr>
          <w:rFonts w:hint="eastAsia" w:ascii="宋体" w:hAnsi="宋体"/>
        </w:rPr>
        <w:t>A.思想解放助推经济的发展           B.市场经济体制逐步确立</w:t>
      </w:r>
    </w:p>
    <w:p w14:paraId="4686AB51">
      <w:pPr>
        <w:spacing w:line="288" w:lineRule="auto"/>
        <w:ind w:firstLine="210" w:firstLineChars="100"/>
        <w:rPr>
          <w:rFonts w:hint="eastAsia" w:ascii="宋体" w:hAnsi="宋体"/>
        </w:rPr>
      </w:pPr>
      <w:r>
        <w:rPr>
          <w:rFonts w:hint="eastAsia" w:ascii="宋体" w:hAnsi="宋体"/>
        </w:rPr>
        <w:t>C.城市经济改革的全面展开           D.民主法制建设恢复发展</w:t>
      </w:r>
    </w:p>
    <w:p w14:paraId="341EA8F3">
      <w:pPr>
        <w:spacing w:line="288" w:lineRule="auto"/>
        <w:rPr>
          <w:rFonts w:hint="eastAsia" w:ascii="宋体" w:hAnsi="宋体"/>
        </w:rPr>
      </w:pPr>
      <w:r>
        <w:rPr>
          <w:rFonts w:hint="eastAsia" w:ascii="宋体" w:hAnsi="宋体"/>
        </w:rPr>
        <w:t>11.19世纪70年代，德国人谢里曼根据《荷马史诗》中《伊利亚特》故事里的描写，把当时希腊军队的行军路线标在地图上。然后他按照行军路线图，最终在土耳其西北部地区发掘出了史诗中描述的特洛伊城遗址。据此可知《荷马史诗》</w:t>
      </w:r>
    </w:p>
    <w:p w14:paraId="2945D8F9">
      <w:pPr>
        <w:spacing w:line="288" w:lineRule="auto"/>
        <w:ind w:firstLine="210" w:firstLineChars="100"/>
        <w:rPr>
          <w:rFonts w:hint="eastAsia" w:ascii="宋体" w:hAnsi="宋体"/>
        </w:rPr>
      </w:pPr>
      <w:r>
        <w:rPr>
          <w:rFonts w:hint="eastAsia" w:ascii="宋体" w:hAnsi="宋体"/>
        </w:rPr>
        <w:t xml:space="preserve">A.推动了西方考古学发展            </w:t>
      </w:r>
      <w:r>
        <w:rPr>
          <w:rFonts w:ascii="宋体" w:hAnsi="宋体"/>
        </w:rPr>
        <w:t xml:space="preserve"> </w:t>
      </w:r>
      <w:r>
        <w:rPr>
          <w:rFonts w:hint="eastAsia" w:ascii="宋体" w:hAnsi="宋体"/>
        </w:rPr>
        <w:t>B.可视为古希腊形象化的历史</w:t>
      </w:r>
    </w:p>
    <w:p w14:paraId="29363A23">
      <w:pPr>
        <w:spacing w:line="288" w:lineRule="auto"/>
        <w:ind w:firstLine="210" w:firstLineChars="100"/>
        <w:rPr>
          <w:rFonts w:ascii="宋体" w:hAnsi="宋体"/>
        </w:rPr>
      </w:pPr>
      <w:r>
        <w:rPr>
          <w:rFonts w:hint="eastAsia" w:ascii="宋体" w:hAnsi="宋体"/>
        </w:rPr>
        <w:t xml:space="preserve">C.如实记载了古希腊历史            </w:t>
      </w:r>
      <w:r>
        <w:rPr>
          <w:rFonts w:ascii="宋体" w:hAnsi="宋体"/>
        </w:rPr>
        <w:t xml:space="preserve"> </w:t>
      </w:r>
      <w:r>
        <w:rPr>
          <w:rFonts w:hint="eastAsia" w:ascii="宋体" w:hAnsi="宋体"/>
        </w:rPr>
        <w:t>D.可作为西方史学产生的源头</w:t>
      </w:r>
    </w:p>
    <w:p w14:paraId="3742EC79">
      <w:pPr>
        <w:spacing w:line="288" w:lineRule="auto"/>
        <w:rPr>
          <w:rFonts w:hint="eastAsia" w:ascii="宋体" w:hAnsi="宋体"/>
        </w:rPr>
      </w:pPr>
      <w:r>
        <w:rPr>
          <w:rFonts w:hint="eastAsia" w:ascii="宋体" w:hAnsi="宋体"/>
        </w:rPr>
        <w:t>12.图3为1600—1780年世界棉花产业的主要分布及流通示意图。该图可佐证</w:t>
      </w:r>
    </w:p>
    <w:p w14:paraId="5A9E2FA8">
      <w:pPr>
        <w:spacing w:line="288" w:lineRule="auto"/>
        <w:jc w:val="center"/>
        <w:rPr>
          <w:rFonts w:hint="eastAsia" w:ascii="宋体" w:hAnsi="宋体"/>
        </w:rPr>
      </w:pPr>
      <w:r>
        <w:rPr>
          <w:rFonts w:ascii="宋体" w:hAnsi="宋体"/>
        </w:rPr>
        <w:drawing>
          <wp:inline distT="0" distB="0" distL="0" distR="0">
            <wp:extent cx="2633345" cy="1914525"/>
            <wp:effectExtent l="0" t="0" r="0" b="0"/>
            <wp:docPr id="4" name="图片 4" descr="C:\Users\58393\Documents\Tencent Files\583932969\FileRecv\MobileFile\Image\MW@EY%I@)``@1J57QNNQ~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58393\Documents\Tencent Files\583932969\FileRecv\MobileFile\Image\MW@EY%I@)``@1J57QNNQ~JK.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472" cy="1919489"/>
                    </a:xfrm>
                    <a:prstGeom prst="rect">
                      <a:avLst/>
                    </a:prstGeom>
                    <a:noFill/>
                    <a:ln>
                      <a:noFill/>
                    </a:ln>
                  </pic:spPr>
                </pic:pic>
              </a:graphicData>
            </a:graphic>
          </wp:inline>
        </w:drawing>
      </w:r>
    </w:p>
    <w:p w14:paraId="2666C076">
      <w:pPr>
        <w:spacing w:line="288" w:lineRule="auto"/>
        <w:jc w:val="center"/>
        <w:rPr>
          <w:rFonts w:hint="eastAsia" w:ascii="宋体" w:hAnsi="宋体"/>
        </w:rPr>
      </w:pPr>
      <w:r>
        <w:rPr>
          <w:rFonts w:hint="eastAsia" w:ascii="宋体" w:hAnsi="宋体"/>
        </w:rPr>
        <w:t>图3</w:t>
      </w:r>
    </w:p>
    <w:p w14:paraId="0210807E">
      <w:pPr>
        <w:spacing w:line="288" w:lineRule="auto"/>
        <w:ind w:firstLine="210" w:firstLineChars="100"/>
        <w:rPr>
          <w:rFonts w:hint="eastAsia" w:ascii="宋体" w:hAnsi="宋体"/>
        </w:rPr>
      </w:pPr>
      <w:r>
        <w:rPr>
          <w:rFonts w:hint="eastAsia" w:ascii="宋体" w:hAnsi="宋体"/>
        </w:rPr>
        <w:t>A.亚非拉完全沦为列强经济附庸        B.资本主义世界市场初步形成</w:t>
      </w:r>
    </w:p>
    <w:p w14:paraId="7416DD22">
      <w:pPr>
        <w:spacing w:line="288" w:lineRule="auto"/>
        <w:ind w:firstLine="210" w:firstLineChars="100"/>
        <w:rPr>
          <w:rFonts w:ascii="宋体" w:hAnsi="宋体"/>
        </w:rPr>
      </w:pPr>
      <w:r>
        <w:rPr>
          <w:rFonts w:hint="eastAsia" w:ascii="宋体" w:hAnsi="宋体"/>
        </w:rPr>
        <w:t>C.棉花成为国际贸易最主要商品        D.拉美独立推动地区经济发展</w:t>
      </w:r>
    </w:p>
    <w:p w14:paraId="78586B03">
      <w:pPr>
        <w:spacing w:line="288" w:lineRule="auto"/>
        <w:rPr>
          <w:rFonts w:hint="eastAsia" w:ascii="宋体" w:hAnsi="宋体"/>
        </w:rPr>
      </w:pPr>
      <w:r>
        <w:rPr>
          <w:rFonts w:hint="eastAsia" w:ascii="宋体" w:hAnsi="宋体"/>
        </w:rPr>
        <w:t>13.有学者认为，鼎盛时期的蒙古帝国领土横跨欧洲的大部分地区、亚洲和中东，其不仅在东半球的各文明之间搭建了桥梁，还为全球范围内的民族交流打下了更坚实的基础，且扩展、加强了从古典时期开始建立起来的世界体系。该学者旨在强调蒙古征战</w:t>
      </w:r>
    </w:p>
    <w:p w14:paraId="3A3DE7EF">
      <w:pPr>
        <w:spacing w:line="288" w:lineRule="auto"/>
        <w:ind w:firstLine="210" w:firstLineChars="100"/>
        <w:rPr>
          <w:rFonts w:hint="eastAsia" w:ascii="宋体" w:hAnsi="宋体"/>
        </w:rPr>
      </w:pPr>
      <w:r>
        <w:rPr>
          <w:rFonts w:hint="eastAsia" w:ascii="宋体" w:hAnsi="宋体"/>
        </w:rPr>
        <w:t>A.推动帝国疆域的空前辽阔            B.使蒙古帝国实力达到鼎盛</w:t>
      </w:r>
    </w:p>
    <w:p w14:paraId="758E4659">
      <w:pPr>
        <w:spacing w:line="288" w:lineRule="auto"/>
        <w:ind w:firstLine="210" w:firstLineChars="100"/>
        <w:rPr>
          <w:rFonts w:hint="eastAsia" w:ascii="宋体" w:hAnsi="宋体"/>
        </w:rPr>
      </w:pPr>
      <w:r>
        <w:rPr>
          <w:rFonts w:hint="eastAsia" w:ascii="宋体" w:hAnsi="宋体"/>
        </w:rPr>
        <w:t>C.影响世界历史的整体发展            D.为全球航路开辟奠定基础</w:t>
      </w:r>
    </w:p>
    <w:p w14:paraId="54FA04E7">
      <w:pPr>
        <w:spacing w:line="288" w:lineRule="auto"/>
        <w:rPr>
          <w:rFonts w:hint="eastAsia" w:ascii="宋体" w:hAnsi="宋体"/>
        </w:rPr>
      </w:pPr>
      <w:r>
        <w:rPr>
          <w:rFonts w:hint="eastAsia" w:ascii="宋体" w:hAnsi="宋体"/>
        </w:rPr>
        <w:t>14.笛卡尔(1596—1650年)主张“我思故我在”,认为通过普遍怀疑的方法，可以使心灵摆脱感官的桎梏，进而依靠纯粹理智来获得正确的知识。由此说明</w:t>
      </w:r>
    </w:p>
    <w:p w14:paraId="778CB8FE">
      <w:pPr>
        <w:spacing w:line="288" w:lineRule="auto"/>
        <w:ind w:firstLine="210" w:firstLineChars="100"/>
        <w:rPr>
          <w:rFonts w:ascii="宋体" w:hAnsi="宋体"/>
        </w:rPr>
      </w:pPr>
      <w:r>
        <w:rPr>
          <w:rFonts w:hint="eastAsia" w:ascii="宋体" w:hAnsi="宋体"/>
        </w:rPr>
        <w:t>A.宗教改革引发欧洲思想解放运动      B.近代自然科学排斥人文主义精神</w:t>
      </w:r>
    </w:p>
    <w:p w14:paraId="44B6686E">
      <w:pPr>
        <w:spacing w:line="288" w:lineRule="auto"/>
        <w:ind w:firstLine="210" w:firstLineChars="100"/>
        <w:rPr>
          <w:rFonts w:hint="eastAsia" w:ascii="宋体" w:hAnsi="宋体"/>
        </w:rPr>
      </w:pPr>
      <w:r>
        <w:rPr>
          <w:rFonts w:hint="eastAsia" w:ascii="宋体" w:hAnsi="宋体"/>
        </w:rPr>
        <w:t>C.理性主义为自然科学提供方法论      D.启蒙运动推动近代自然科学诞生</w:t>
      </w:r>
    </w:p>
    <w:p w14:paraId="68A581D8">
      <w:pPr>
        <w:spacing w:line="288" w:lineRule="auto"/>
        <w:rPr>
          <w:rFonts w:hint="eastAsia" w:ascii="宋体" w:hAnsi="宋体"/>
        </w:rPr>
      </w:pPr>
      <w:r>
        <w:rPr>
          <w:rFonts w:hint="eastAsia" w:ascii="宋体" w:hAnsi="宋体"/>
        </w:rPr>
        <w:t>15.一战后，以研究、传播中国文化为宗旨的学术组织机构在欧洲大量涌现，如巴黎大学中国学院、法兰克福大学中国学院、达姆斯塔特“东方智慧学院”等，形成了19世纪以来中学西播的一次高潮。欧洲出现此次高潮的主要原因是</w:t>
      </w:r>
    </w:p>
    <w:p w14:paraId="07DAA8E1">
      <w:pPr>
        <w:spacing w:line="288" w:lineRule="auto"/>
        <w:ind w:firstLine="210" w:firstLineChars="100"/>
        <w:rPr>
          <w:rFonts w:hint="eastAsia" w:ascii="宋体" w:hAnsi="宋体"/>
        </w:rPr>
      </w:pPr>
      <w:r>
        <w:rPr>
          <w:rFonts w:hint="eastAsia" w:ascii="宋体" w:hAnsi="宋体"/>
        </w:rPr>
        <w:t>A.一战引起人们对自身文明反思        B.中国在战后国际地位的提高</w:t>
      </w:r>
    </w:p>
    <w:p w14:paraId="3D51780F">
      <w:pPr>
        <w:spacing w:line="288" w:lineRule="auto"/>
        <w:ind w:firstLine="210" w:firstLineChars="100"/>
        <w:rPr>
          <w:rFonts w:hint="eastAsia" w:ascii="宋体" w:hAnsi="宋体"/>
        </w:rPr>
      </w:pPr>
      <w:r>
        <w:rPr>
          <w:rFonts w:hint="eastAsia" w:ascii="宋体" w:hAnsi="宋体"/>
        </w:rPr>
        <w:t>C.一战压制了欧洲民族民主意识        D.中国劳工赴欧加速战争结束</w:t>
      </w:r>
    </w:p>
    <w:p w14:paraId="4D715F47">
      <w:pPr>
        <w:spacing w:line="288" w:lineRule="auto"/>
        <w:rPr>
          <w:rFonts w:ascii="宋体" w:hAnsi="宋体"/>
        </w:rPr>
      </w:pPr>
    </w:p>
    <w:p w14:paraId="2171F3B6">
      <w:pPr>
        <w:spacing w:line="288" w:lineRule="auto"/>
        <w:rPr>
          <w:rFonts w:hint="eastAsia" w:ascii="黑体" w:hAnsi="黑体" w:eastAsia="黑体" w:cs="黑体"/>
          <w:b w:val="0"/>
          <w:bCs/>
          <w:sz w:val="21"/>
          <w:szCs w:val="21"/>
        </w:rPr>
      </w:pPr>
      <w:r>
        <w:rPr>
          <w:rFonts w:hint="eastAsia" w:ascii="黑体" w:hAnsi="黑体" w:eastAsia="黑体" w:cs="黑体"/>
          <w:b w:val="0"/>
          <w:bCs/>
          <w:sz w:val="21"/>
          <w:szCs w:val="21"/>
        </w:rPr>
        <w:t>二、非选择题：本大题共4题，满分55分，其中第16题13分，第17题13分，第18题16分，第19题13分。</w:t>
      </w:r>
    </w:p>
    <w:p w14:paraId="23D1A84E">
      <w:pPr>
        <w:spacing w:line="288" w:lineRule="auto"/>
        <w:rPr>
          <w:rFonts w:hint="eastAsia" w:ascii="宋体" w:hAnsi="宋体"/>
        </w:rPr>
      </w:pPr>
      <w:r>
        <w:rPr>
          <w:rFonts w:hint="eastAsia" w:ascii="宋体" w:hAnsi="宋体"/>
        </w:rPr>
        <w:t>16.(13分)阅读材料，完成下列要求。</w:t>
      </w:r>
    </w:p>
    <w:p w14:paraId="47432159">
      <w:pPr>
        <w:spacing w:line="288" w:lineRule="auto"/>
        <w:rPr>
          <w:rFonts w:ascii="楷体" w:hAnsi="楷体" w:eastAsia="楷体"/>
        </w:rPr>
      </w:pPr>
      <w:r>
        <w:rPr>
          <w:rFonts w:hint="eastAsia" w:ascii="楷体" w:hAnsi="楷体" w:eastAsia="楷体"/>
        </w:rPr>
        <w:t>材料</w:t>
      </w:r>
    </w:p>
    <w:p w14:paraId="413F321C">
      <w:pPr>
        <w:spacing w:line="288" w:lineRule="auto"/>
        <w:ind w:firstLine="420" w:firstLineChars="200"/>
        <w:rPr>
          <w:rFonts w:hint="eastAsia" w:ascii="楷体" w:hAnsi="楷体" w:eastAsia="楷体"/>
        </w:rPr>
      </w:pPr>
      <w:r>
        <w:rPr>
          <w:rFonts w:hint="eastAsia" w:ascii="楷体" w:hAnsi="楷体" w:eastAsia="楷体"/>
        </w:rPr>
        <w:t>良渚古城由宫殿区、内城、外城组成，呈向心式三重布局结构，古河道和十数座高、低水坝贯穿其间，城址总面积631公顷，有宫殿区、王陵区、仓储区和作坊区的考古遗迹。宫殿区东坡地层发现了大量炭化稻米堆积，古城内外发现了祭坛、规模不等的墓地，出土了大批祭祀神祇的玉琮和象征权力的玉钺等刻有相似图案的礼器(见下图)。</w:t>
      </w:r>
    </w:p>
    <w:p w14:paraId="39A393A7">
      <w:pPr>
        <w:spacing w:line="288" w:lineRule="auto"/>
        <w:jc w:val="center"/>
        <w:rPr>
          <w:rFonts w:ascii="楷体" w:hAnsi="楷体" w:eastAsia="楷体"/>
        </w:rPr>
      </w:pPr>
      <w:r>
        <w:rPr>
          <w:rFonts w:ascii="楷体" w:hAnsi="楷体" w:eastAsia="楷体"/>
        </w:rPr>
        <w:drawing>
          <wp:inline distT="0" distB="0" distL="0" distR="0">
            <wp:extent cx="5688330" cy="1655445"/>
            <wp:effectExtent l="0" t="0" r="7620" b="1905"/>
            <wp:docPr id="5" name="图片 5" descr="C:\Users\58393\Documents\Tencent Files\583932969\FileRecv\MobileFile\Image\~XJRB8KQH%4__ROKHTW{X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58393\Documents\Tencent Files\583932969\FileRecv\MobileFile\Image\~XJRB8KQH%4__ROKHTW{XYQ.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717404" cy="1664180"/>
                    </a:xfrm>
                    <a:prstGeom prst="rect">
                      <a:avLst/>
                    </a:prstGeom>
                    <a:noFill/>
                    <a:ln>
                      <a:noFill/>
                    </a:ln>
                  </pic:spPr>
                </pic:pic>
              </a:graphicData>
            </a:graphic>
          </wp:inline>
        </w:drawing>
      </w:r>
    </w:p>
    <w:p w14:paraId="096BA017">
      <w:pPr>
        <w:spacing w:line="288" w:lineRule="auto"/>
        <w:jc w:val="right"/>
        <w:rPr>
          <w:rFonts w:ascii="楷体" w:hAnsi="楷体" w:eastAsia="楷体"/>
        </w:rPr>
      </w:pPr>
      <w:r>
        <w:rPr>
          <w:rFonts w:hint="eastAsia" w:ascii="楷体" w:hAnsi="楷体" w:eastAsia="楷体"/>
        </w:rPr>
        <w:t>——据刘斌等《良渚古城与中华文明》</w:t>
      </w:r>
    </w:p>
    <w:p w14:paraId="52758E0F">
      <w:pPr>
        <w:spacing w:line="288" w:lineRule="auto"/>
        <w:rPr>
          <w:rFonts w:hint="eastAsia" w:ascii="宋体" w:hAnsi="宋体"/>
        </w:rPr>
      </w:pPr>
      <w:r>
        <w:rPr>
          <w:rFonts w:hint="eastAsia" w:ascii="宋体" w:hAnsi="宋体"/>
        </w:rPr>
        <w:t>整理运用材料中的信息并结合所学知识，阐释良渚文化的社会特征。(要求：观点明确，表述成文，史论结合、逻辑严谨。)(13分)</w:t>
      </w:r>
    </w:p>
    <w:p w14:paraId="20AC6BE6">
      <w:pPr>
        <w:spacing w:line="288" w:lineRule="auto"/>
        <w:rPr>
          <w:rFonts w:ascii="宋体" w:hAnsi="宋体"/>
        </w:rPr>
      </w:pPr>
    </w:p>
    <w:p w14:paraId="3402B956">
      <w:pPr>
        <w:spacing w:line="288" w:lineRule="auto"/>
        <w:rPr>
          <w:rFonts w:hint="eastAsia" w:ascii="宋体" w:hAnsi="宋体"/>
        </w:rPr>
      </w:pPr>
      <w:r>
        <w:rPr>
          <w:rFonts w:hint="eastAsia" w:ascii="宋体" w:hAnsi="宋体"/>
        </w:rPr>
        <w:t>17.(13分)阅读材料，完成下列要求。</w:t>
      </w:r>
    </w:p>
    <w:p w14:paraId="46FF28B3">
      <w:pPr>
        <w:spacing w:line="288" w:lineRule="auto"/>
        <w:rPr>
          <w:rFonts w:ascii="楷体" w:hAnsi="楷体" w:eastAsia="楷体"/>
        </w:rPr>
      </w:pPr>
      <w:r>
        <w:rPr>
          <w:rFonts w:hint="eastAsia" w:ascii="楷体" w:hAnsi="楷体" w:eastAsia="楷体"/>
        </w:rPr>
        <w:t>材料一</w:t>
      </w:r>
    </w:p>
    <w:p w14:paraId="7B36EB55">
      <w:pPr>
        <w:spacing w:line="288" w:lineRule="auto"/>
        <w:ind w:firstLine="420" w:firstLineChars="200"/>
        <w:rPr>
          <w:rFonts w:hint="eastAsia" w:ascii="楷体" w:hAnsi="楷体" w:eastAsia="楷体"/>
        </w:rPr>
      </w:pPr>
      <w:r>
        <w:rPr>
          <w:rFonts w:hint="eastAsia" w:ascii="楷体" w:hAnsi="楷体" w:eastAsia="楷体"/>
        </w:rPr>
        <w:t>洋务派在军队中推广西洋体操，在军事学堂中开设体操课，并非仅为了锻炼身体，更是出于练兵的目的。....以康有为为首的资产阶级改良派认识到近代体育不仅有军事上的强兵作用，更有在国家与民族长远利益上的强种、强国作用，开始把西洋体操引进学校教育。</w:t>
      </w:r>
    </w:p>
    <w:p w14:paraId="6115A563">
      <w:pPr>
        <w:spacing w:line="288" w:lineRule="auto"/>
        <w:jc w:val="right"/>
        <w:rPr>
          <w:rFonts w:hint="eastAsia" w:ascii="楷体" w:hAnsi="楷体" w:eastAsia="楷体"/>
        </w:rPr>
      </w:pPr>
      <w:r>
        <w:rPr>
          <w:rFonts w:hint="eastAsia" w:ascii="楷体" w:hAnsi="楷体" w:eastAsia="楷体"/>
        </w:rPr>
        <w:t>——摘编自人民体育出版社《中国体育通史》</w:t>
      </w:r>
    </w:p>
    <w:p w14:paraId="1E46E929">
      <w:pPr>
        <w:spacing w:line="288" w:lineRule="auto"/>
        <w:rPr>
          <w:rFonts w:ascii="楷体" w:hAnsi="楷体" w:eastAsia="楷体"/>
        </w:rPr>
      </w:pPr>
      <w:r>
        <w:rPr>
          <w:rFonts w:hint="eastAsia" w:ascii="楷体" w:hAnsi="楷体" w:eastAsia="楷体"/>
        </w:rPr>
        <w:t>材料二</w:t>
      </w:r>
    </w:p>
    <w:p w14:paraId="31E91815">
      <w:pPr>
        <w:spacing w:line="288" w:lineRule="auto"/>
        <w:ind w:firstLine="420" w:firstLineChars="200"/>
        <w:rPr>
          <w:rFonts w:hint="eastAsia" w:ascii="楷体" w:hAnsi="楷体" w:eastAsia="楷体"/>
        </w:rPr>
      </w:pPr>
      <w:r>
        <w:rPr>
          <w:rFonts w:hint="eastAsia" w:ascii="楷体" w:hAnsi="楷体" w:eastAsia="楷体"/>
        </w:rPr>
        <w:t>1940年陇东中学请当地驻军385旅的干部战士教体育课程，主要内容有集会和解散迅速、步伐、跪卧姿势、掷手榴弹、射击、野战、刺击技术、防空防毒演习等，这些体育课程在边区学校较为普及。1940年成立的“延安体育会”提倡每天“10分钟运动”,还利用节假日经常组织全市性运动会和各种比赛，比赛项目有田径、篮球、排球、游泳等运动项目，武装爬山、障碍、射击、投弹等军事项目，还有网球、足球、棒球、马术、赛马、跳水、举重、双杠、单杠、木马、团体操、舞蹈、武术等表演项目。参加比赛的有工人、农民、军人、学生、艺人、公务员、市民和商人。</w:t>
      </w:r>
    </w:p>
    <w:p w14:paraId="65090DDA">
      <w:pPr>
        <w:spacing w:line="288" w:lineRule="auto"/>
        <w:jc w:val="right"/>
        <w:rPr>
          <w:rFonts w:hint="eastAsia" w:ascii="楷体" w:hAnsi="楷体" w:eastAsia="楷体"/>
        </w:rPr>
      </w:pPr>
      <w:r>
        <w:rPr>
          <w:rFonts w:hint="eastAsia" w:ascii="楷体" w:hAnsi="楷体" w:eastAsia="楷体"/>
        </w:rPr>
        <w:t>——摘编自宗有智《抗战时期陕甘宁边区的体育》</w:t>
      </w:r>
    </w:p>
    <w:p w14:paraId="4A19BACA">
      <w:pPr>
        <w:spacing w:line="288" w:lineRule="auto"/>
        <w:rPr>
          <w:rFonts w:ascii="宋体" w:hAnsi="宋体"/>
        </w:rPr>
      </w:pPr>
      <w:r>
        <w:rPr>
          <w:rFonts w:hint="eastAsia" w:ascii="宋体" w:hAnsi="宋体"/>
        </w:rPr>
        <w:t>(1)据材料一，说明与洋务派相比，维新派体育观的变化。结合所学知识，指出变化的背景。(5分)</w:t>
      </w:r>
    </w:p>
    <w:p w14:paraId="07475027">
      <w:pPr>
        <w:spacing w:line="288" w:lineRule="auto"/>
        <w:rPr>
          <w:rFonts w:hint="eastAsia" w:ascii="宋体" w:hAnsi="宋体"/>
        </w:rPr>
      </w:pPr>
    </w:p>
    <w:p w14:paraId="6E294617">
      <w:pPr>
        <w:spacing w:line="288" w:lineRule="auto"/>
        <w:rPr>
          <w:rFonts w:hint="eastAsia" w:ascii="宋体" w:hAnsi="宋体"/>
        </w:rPr>
      </w:pPr>
      <w:r>
        <w:rPr>
          <w:rFonts w:hint="eastAsia" w:ascii="宋体" w:hAnsi="宋体"/>
        </w:rPr>
        <w:t>(2)据材料二，概括陕甘宁边区体育的特点，并结合所学知识说明其影响。(8分)</w:t>
      </w:r>
    </w:p>
    <w:p w14:paraId="0E9E89D5">
      <w:pPr>
        <w:spacing w:line="288" w:lineRule="auto"/>
        <w:rPr>
          <w:rFonts w:ascii="宋体" w:hAnsi="宋体"/>
        </w:rPr>
      </w:pPr>
    </w:p>
    <w:p w14:paraId="3A6F58F6">
      <w:pPr>
        <w:spacing w:line="288" w:lineRule="auto"/>
        <w:rPr>
          <w:rFonts w:hint="eastAsia" w:ascii="宋体" w:hAnsi="宋体"/>
        </w:rPr>
      </w:pPr>
      <w:r>
        <w:rPr>
          <w:rFonts w:hint="eastAsia" w:ascii="宋体" w:hAnsi="宋体"/>
        </w:rPr>
        <w:t>18.(16分)阅读材料，完成下列要求。</w:t>
      </w:r>
    </w:p>
    <w:p w14:paraId="369A4240">
      <w:pPr>
        <w:spacing w:line="288" w:lineRule="auto"/>
        <w:rPr>
          <w:rFonts w:ascii="楷体" w:hAnsi="楷体" w:eastAsia="楷体"/>
        </w:rPr>
      </w:pPr>
      <w:r>
        <w:rPr>
          <w:rFonts w:hint="eastAsia" w:ascii="楷体" w:hAnsi="楷体" w:eastAsia="楷体"/>
        </w:rPr>
        <w:t>材料一</w:t>
      </w:r>
    </w:p>
    <w:p w14:paraId="03A5330F">
      <w:pPr>
        <w:spacing w:line="288" w:lineRule="auto"/>
        <w:ind w:firstLine="420" w:firstLineChars="200"/>
        <w:rPr>
          <w:rFonts w:hint="eastAsia" w:ascii="楷体" w:hAnsi="楷体" w:eastAsia="楷体"/>
        </w:rPr>
      </w:pPr>
      <w:r>
        <w:rPr>
          <w:rFonts w:hint="eastAsia" w:ascii="楷体" w:hAnsi="楷体" w:eastAsia="楷体"/>
        </w:rPr>
        <w:t>广东省鹤山市是著名侨乡，人称“海外一个鹤山”。鹤山水网密布，离香港、澳门都很近，水运一天内即可到达。鹤山濒临大海，地形复杂，导致当地洪水、干旱、台风等频发。从道光三十年至光绪二十六年，几乎每年都会遭遇洪灾或者风灾。19世纪中期以来，广东沿海等地人口剧增，人民生活困苦，再加上农村自然经济的解体，鹤山等地的生存资源变得极度紧张。</w:t>
      </w:r>
    </w:p>
    <w:p w14:paraId="1CEE4EC3">
      <w:pPr>
        <w:spacing w:line="288" w:lineRule="auto"/>
        <w:jc w:val="right"/>
        <w:rPr>
          <w:rFonts w:hint="eastAsia" w:ascii="楷体" w:hAnsi="楷体" w:eastAsia="楷体"/>
        </w:rPr>
      </w:pPr>
      <w:r>
        <w:rPr>
          <w:rFonts w:hint="eastAsia" w:ascii="楷体" w:hAnsi="楷体" w:eastAsia="楷体"/>
        </w:rPr>
        <w:t>——摘编自徐晓俊《论晚清广东鹤山华工出洋的原因及途径》</w:t>
      </w:r>
    </w:p>
    <w:p w14:paraId="6B3FED21">
      <w:pPr>
        <w:spacing w:line="288" w:lineRule="auto"/>
        <w:rPr>
          <w:rFonts w:ascii="楷体" w:hAnsi="楷体" w:eastAsia="楷体"/>
        </w:rPr>
      </w:pPr>
      <w:r>
        <w:rPr>
          <w:rFonts w:hint="eastAsia" w:ascii="楷体" w:hAnsi="楷体" w:eastAsia="楷体"/>
        </w:rPr>
        <w:t>材料二</w:t>
      </w:r>
    </w:p>
    <w:p w14:paraId="76D018AC">
      <w:pPr>
        <w:spacing w:line="288" w:lineRule="auto"/>
        <w:ind w:firstLine="420" w:firstLineChars="200"/>
        <w:rPr>
          <w:rFonts w:hint="eastAsia" w:ascii="楷体" w:hAnsi="楷体" w:eastAsia="楷体"/>
        </w:rPr>
      </w:pPr>
      <w:r>
        <w:rPr>
          <w:rFonts w:hint="eastAsia" w:ascii="楷体" w:hAnsi="楷体" w:eastAsia="楷体"/>
        </w:rPr>
        <w:t>19世纪中期大批华工奔赴美国西部“淘金”,他们也是采掘煤、铁、汞、铜、铅等矿石的主要劳动力。华工们参与修建了美国中央太平洋铁路及其它横贯大陆的四条铁路。这些铁路使“工业的北部、过去奴隶占有制的南部和垦殖的西部”连成了一个整体。随着铁路的建成，加州重要城市旧金山“从一个仅有几个帐蓬和几间土屋的小地方发达成为一个巨大的商业城市”。此外，华工们还投入到了西部荒地、沼泽地的开垦中，种植水果、花卉，发展园艺业、渔业等新领域也吸引了成千上万的华工。华工的身影辗转于美国遥远西部的每个角落。</w:t>
      </w:r>
    </w:p>
    <w:p w14:paraId="50CFCAED">
      <w:pPr>
        <w:spacing w:line="288" w:lineRule="auto"/>
        <w:jc w:val="right"/>
        <w:rPr>
          <w:rFonts w:hint="eastAsia" w:ascii="楷体" w:hAnsi="楷体" w:eastAsia="楷体"/>
        </w:rPr>
      </w:pPr>
      <w:r>
        <w:rPr>
          <w:rFonts w:hint="eastAsia" w:ascii="楷体" w:hAnsi="楷体" w:eastAsia="楷体"/>
        </w:rPr>
        <w:t>——摘编自张建新《华工在美国西部经济开发中的历史作用》</w:t>
      </w:r>
    </w:p>
    <w:p w14:paraId="06316C89">
      <w:pPr>
        <w:spacing w:line="288" w:lineRule="auto"/>
        <w:rPr>
          <w:rFonts w:ascii="宋体" w:hAnsi="宋体"/>
        </w:rPr>
      </w:pPr>
      <w:r>
        <w:rPr>
          <w:rFonts w:hint="eastAsia" w:ascii="宋体" w:hAnsi="宋体"/>
        </w:rPr>
        <w:t>(1)“推拉理论”是解释人口迁移的重要理论。据材料一并结合所学知识，从推力和拉力两个维度，分析晚清鹤山华工出洋的原因。(9分)</w:t>
      </w:r>
    </w:p>
    <w:p w14:paraId="3B6D3E5D">
      <w:pPr>
        <w:spacing w:line="288" w:lineRule="auto"/>
        <w:rPr>
          <w:rFonts w:hint="eastAsia" w:ascii="宋体" w:hAnsi="宋体"/>
        </w:rPr>
      </w:pPr>
    </w:p>
    <w:p w14:paraId="200187E5">
      <w:pPr>
        <w:spacing w:line="288" w:lineRule="auto"/>
        <w:rPr>
          <w:rFonts w:hint="eastAsia" w:ascii="宋体" w:hAnsi="宋体"/>
        </w:rPr>
      </w:pPr>
      <w:r>
        <w:rPr>
          <w:rFonts w:hint="eastAsia" w:ascii="宋体" w:hAnsi="宋体"/>
        </w:rPr>
        <w:t>(2)据材料二并结合所学知识，概括华工在美国西部开发中的历史作用。(7分)</w:t>
      </w:r>
    </w:p>
    <w:p w14:paraId="6FE8419B">
      <w:pPr>
        <w:spacing w:line="288" w:lineRule="auto"/>
        <w:rPr>
          <w:rFonts w:ascii="宋体" w:hAnsi="宋体"/>
        </w:rPr>
      </w:pPr>
    </w:p>
    <w:p w14:paraId="4B78CA4F">
      <w:pPr>
        <w:spacing w:line="288" w:lineRule="auto"/>
        <w:rPr>
          <w:rFonts w:ascii="宋体" w:hAnsi="宋体"/>
        </w:rPr>
      </w:pPr>
      <w:r>
        <w:rPr>
          <w:rFonts w:hint="eastAsia" w:ascii="宋体" w:hAnsi="宋体"/>
        </w:rPr>
        <w:t>19.(13分)阅读材料，完成下列要求。</w:t>
      </w:r>
    </w:p>
    <w:p w14:paraId="63690EEF">
      <w:pPr>
        <w:spacing w:line="288" w:lineRule="auto"/>
        <w:rPr>
          <w:rFonts w:hint="eastAsia" w:ascii="楷体" w:hAnsi="楷体" w:eastAsia="楷体"/>
        </w:rPr>
      </w:pPr>
      <w:r>
        <w:rPr>
          <w:rFonts w:hint="eastAsia" w:ascii="楷体" w:hAnsi="楷体" w:eastAsia="楷体"/>
        </w:rPr>
        <w:t>材料</w:t>
      </w:r>
    </w:p>
    <w:p w14:paraId="2EDEEE7E">
      <w:pPr>
        <w:spacing w:line="288" w:lineRule="auto"/>
        <w:jc w:val="center"/>
        <w:rPr>
          <w:rFonts w:ascii="楷体" w:hAnsi="楷体" w:eastAsia="楷体"/>
        </w:rPr>
      </w:pPr>
      <w:r>
        <w:rPr>
          <w:rFonts w:ascii="楷体" w:hAnsi="楷体" w:eastAsia="楷体"/>
        </w:rPr>
        <w:drawing>
          <wp:inline distT="0" distB="0" distL="0" distR="0">
            <wp:extent cx="2759075" cy="2261235"/>
            <wp:effectExtent l="0" t="0" r="3175" b="5715"/>
            <wp:docPr id="6" name="图片 6" descr="C:\Users\58393\Documents\Tencent Files\583932969\FileRecv\MobileFile\Image\J%R{TF@H~XK0F9ZG~I}7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58393\Documents\Tencent Files\583932969\FileRecv\MobileFile\Image\J%R{TF@H~XK0F9ZG~I}7C2D.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0677" cy="2270644"/>
                    </a:xfrm>
                    <a:prstGeom prst="rect">
                      <a:avLst/>
                    </a:prstGeom>
                    <a:noFill/>
                    <a:ln>
                      <a:noFill/>
                    </a:ln>
                  </pic:spPr>
                </pic:pic>
              </a:graphicData>
            </a:graphic>
          </wp:inline>
        </w:drawing>
      </w:r>
    </w:p>
    <w:p w14:paraId="6135706F">
      <w:pPr>
        <w:spacing w:line="288" w:lineRule="auto"/>
        <w:jc w:val="right"/>
        <w:rPr>
          <w:rFonts w:hint="eastAsia" w:ascii="楷体" w:hAnsi="楷体" w:eastAsia="楷体"/>
        </w:rPr>
      </w:pPr>
      <w:r>
        <w:rPr>
          <w:rFonts w:hint="eastAsia" w:ascii="楷体" w:hAnsi="楷体" w:eastAsia="楷体"/>
        </w:rPr>
        <w:t>——据联合国《世界城镇化展望(2018年版)》等资料编制</w:t>
      </w:r>
    </w:p>
    <w:p w14:paraId="193E87EE">
      <w:pPr>
        <w:spacing w:line="288" w:lineRule="auto"/>
        <w:rPr>
          <w:rFonts w:hint="eastAsia" w:ascii="宋体" w:hAnsi="宋体"/>
        </w:rPr>
      </w:pPr>
      <w:r>
        <w:rPr>
          <w:rFonts w:hint="eastAsia" w:ascii="宋体" w:hAnsi="宋体"/>
        </w:rPr>
        <w:t>据材料，概括英国19世纪到20世纪中期城市化进程的阶段性特点，结合所学知识，分析相关原因。(13分)</w:t>
      </w:r>
    </w:p>
    <w:p w14:paraId="50217C18">
      <w:pPr>
        <w:spacing w:line="288" w:lineRule="auto"/>
        <w:rPr>
          <w:rFonts w:hint="eastAsia" w:ascii="宋体" w:hAnsi="宋体"/>
        </w:rPr>
      </w:pPr>
    </w:p>
    <w:p w14:paraId="1E20357F">
      <w:pPr>
        <w:ind w:firstLine="2891" w:firstLineChars="900"/>
        <w:rPr>
          <w:rFonts w:hint="eastAsia" w:ascii="宋体" w:hAnsi="宋体"/>
          <w:b/>
          <w:sz w:val="32"/>
          <w:szCs w:val="32"/>
          <w:lang w:val="en-US" w:eastAsia="zh-CN"/>
        </w:rPr>
      </w:pPr>
    </w:p>
    <w:p w14:paraId="74E32D0D">
      <w:pPr>
        <w:ind w:firstLine="2891" w:firstLineChars="900"/>
        <w:rPr>
          <w:rFonts w:hint="eastAsia" w:ascii="宋体" w:hAnsi="宋体"/>
          <w:b/>
          <w:sz w:val="32"/>
          <w:szCs w:val="32"/>
          <w:lang w:val="en-US" w:eastAsia="zh-CN"/>
        </w:rPr>
      </w:pPr>
      <w:r>
        <w:rPr>
          <w:rFonts w:hint="eastAsia" w:ascii="宋体" w:hAnsi="宋体"/>
          <w:b/>
          <w:sz w:val="32"/>
          <w:szCs w:val="32"/>
          <w:lang w:val="en-US" w:eastAsia="zh-CN"/>
        </w:rPr>
        <w:t>参考答案</w:t>
      </w:r>
    </w:p>
    <w:p w14:paraId="3A1FDF69">
      <w:pPr>
        <w:rPr>
          <w:rFonts w:hint="eastAsia" w:ascii="黑体" w:hAnsi="黑体" w:eastAsia="黑体" w:cs="黑体"/>
          <w:b/>
          <w:sz w:val="21"/>
          <w:szCs w:val="21"/>
          <w:lang w:val="en-US" w:eastAsia="zh-CN"/>
        </w:rPr>
      </w:pPr>
      <w:r>
        <w:rPr>
          <w:rFonts w:hint="eastAsia" w:ascii="黑体" w:hAnsi="黑体" w:eastAsia="黑体" w:cs="黑体"/>
          <w:b/>
          <w:sz w:val="21"/>
          <w:szCs w:val="21"/>
          <w:lang w:val="en-US" w:eastAsia="zh-CN"/>
        </w:rPr>
        <w:t>一、选择题：每小题15分，共45分</w:t>
      </w:r>
    </w:p>
    <w:tbl>
      <w:tblPr>
        <w:tblStyle w:val="4"/>
        <w:tblpPr w:leftFromText="180" w:rightFromText="180" w:vertAnchor="text" w:horzAnchor="page" w:tblpX="1013" w:tblpY="8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82"/>
        <w:gridCol w:w="782"/>
        <w:gridCol w:w="782"/>
        <w:gridCol w:w="783"/>
        <w:gridCol w:w="783"/>
        <w:gridCol w:w="783"/>
        <w:gridCol w:w="712"/>
        <w:gridCol w:w="712"/>
        <w:gridCol w:w="712"/>
        <w:gridCol w:w="712"/>
        <w:gridCol w:w="783"/>
      </w:tblGrid>
      <w:tr w14:paraId="3EEC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6" w:hRule="atLeast"/>
          <w:jc w:val="center"/>
        </w:trPr>
        <w:tc>
          <w:tcPr>
            <w:tcW w:w="782" w:type="dxa"/>
            <w:vAlign w:val="center"/>
          </w:tcPr>
          <w:p w14:paraId="6106EF8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题号</w:t>
            </w:r>
          </w:p>
        </w:tc>
        <w:tc>
          <w:tcPr>
            <w:tcW w:w="782" w:type="dxa"/>
            <w:vAlign w:val="center"/>
          </w:tcPr>
          <w:p w14:paraId="68E9713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82" w:type="dxa"/>
            <w:vAlign w:val="center"/>
          </w:tcPr>
          <w:p w14:paraId="5E2143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83" w:type="dxa"/>
            <w:vAlign w:val="center"/>
          </w:tcPr>
          <w:p w14:paraId="7D2BBC0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83" w:type="dxa"/>
            <w:vAlign w:val="center"/>
          </w:tcPr>
          <w:p w14:paraId="6099C7B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83" w:type="dxa"/>
            <w:vAlign w:val="center"/>
          </w:tcPr>
          <w:p w14:paraId="056852A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2" w:type="dxa"/>
            <w:vAlign w:val="center"/>
          </w:tcPr>
          <w:p w14:paraId="1F37D43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12" w:type="dxa"/>
            <w:vAlign w:val="center"/>
          </w:tcPr>
          <w:p w14:paraId="34DAE46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712" w:type="dxa"/>
            <w:vAlign w:val="center"/>
          </w:tcPr>
          <w:p w14:paraId="10865CA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712" w:type="dxa"/>
            <w:vAlign w:val="center"/>
          </w:tcPr>
          <w:p w14:paraId="008DBE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783" w:type="dxa"/>
            <w:vAlign w:val="center"/>
          </w:tcPr>
          <w:p w14:paraId="615C7FF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6255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782" w:type="dxa"/>
            <w:vAlign w:val="center"/>
          </w:tcPr>
          <w:p w14:paraId="6F79EBD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答案</w:t>
            </w:r>
          </w:p>
        </w:tc>
        <w:tc>
          <w:tcPr>
            <w:tcW w:w="782" w:type="dxa"/>
            <w:vAlign w:val="center"/>
          </w:tcPr>
          <w:p w14:paraId="13512B3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t>
            </w:r>
          </w:p>
        </w:tc>
        <w:tc>
          <w:tcPr>
            <w:tcW w:w="782" w:type="dxa"/>
            <w:vAlign w:val="center"/>
          </w:tcPr>
          <w:p w14:paraId="0BCCE8F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w:t>
            </w:r>
          </w:p>
        </w:tc>
        <w:tc>
          <w:tcPr>
            <w:tcW w:w="783" w:type="dxa"/>
            <w:vAlign w:val="center"/>
          </w:tcPr>
          <w:p w14:paraId="536778E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w:t>
            </w:r>
          </w:p>
        </w:tc>
        <w:tc>
          <w:tcPr>
            <w:tcW w:w="783" w:type="dxa"/>
            <w:vAlign w:val="center"/>
          </w:tcPr>
          <w:p w14:paraId="339F9D3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c>
          <w:tcPr>
            <w:tcW w:w="783" w:type="dxa"/>
            <w:vAlign w:val="center"/>
          </w:tcPr>
          <w:p w14:paraId="5B41567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t>
            </w:r>
          </w:p>
        </w:tc>
        <w:tc>
          <w:tcPr>
            <w:tcW w:w="712" w:type="dxa"/>
            <w:vAlign w:val="center"/>
          </w:tcPr>
          <w:p w14:paraId="17EEABD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t>
            </w:r>
          </w:p>
        </w:tc>
        <w:tc>
          <w:tcPr>
            <w:tcW w:w="712" w:type="dxa"/>
            <w:vAlign w:val="center"/>
          </w:tcPr>
          <w:p w14:paraId="2C1FB24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w:t>
            </w:r>
          </w:p>
        </w:tc>
        <w:tc>
          <w:tcPr>
            <w:tcW w:w="712" w:type="dxa"/>
            <w:vAlign w:val="center"/>
          </w:tcPr>
          <w:p w14:paraId="22BDC80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t>
            </w:r>
          </w:p>
        </w:tc>
        <w:tc>
          <w:tcPr>
            <w:tcW w:w="712" w:type="dxa"/>
            <w:vAlign w:val="center"/>
          </w:tcPr>
          <w:p w14:paraId="3A7D041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c>
          <w:tcPr>
            <w:tcW w:w="783" w:type="dxa"/>
            <w:vAlign w:val="center"/>
          </w:tcPr>
          <w:p w14:paraId="017651B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r>
      <w:tr w14:paraId="6DB4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8" w:hRule="atLeast"/>
          <w:jc w:val="center"/>
        </w:trPr>
        <w:tc>
          <w:tcPr>
            <w:tcW w:w="782" w:type="dxa"/>
            <w:vAlign w:val="center"/>
          </w:tcPr>
          <w:p w14:paraId="695DE3B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题号</w:t>
            </w:r>
          </w:p>
        </w:tc>
        <w:tc>
          <w:tcPr>
            <w:tcW w:w="782" w:type="dxa"/>
            <w:vAlign w:val="center"/>
          </w:tcPr>
          <w:p w14:paraId="50F427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782" w:type="dxa"/>
            <w:vAlign w:val="center"/>
          </w:tcPr>
          <w:p w14:paraId="1602DDE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783" w:type="dxa"/>
            <w:vAlign w:val="center"/>
          </w:tcPr>
          <w:p w14:paraId="577352B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783" w:type="dxa"/>
            <w:vAlign w:val="center"/>
          </w:tcPr>
          <w:p w14:paraId="469DDB7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783" w:type="dxa"/>
            <w:vAlign w:val="center"/>
          </w:tcPr>
          <w:p w14:paraId="2F0DFDD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712" w:type="dxa"/>
            <w:vAlign w:val="center"/>
          </w:tcPr>
          <w:p w14:paraId="76BC3977">
            <w:pPr>
              <w:jc w:val="center"/>
              <w:rPr>
                <w:rFonts w:hint="eastAsia" w:ascii="宋体" w:hAnsi="宋体" w:eastAsia="宋体" w:cs="宋体"/>
                <w:sz w:val="21"/>
                <w:szCs w:val="21"/>
                <w:lang w:val="en-US" w:eastAsia="zh-CN"/>
              </w:rPr>
            </w:pPr>
          </w:p>
        </w:tc>
        <w:tc>
          <w:tcPr>
            <w:tcW w:w="712" w:type="dxa"/>
            <w:vAlign w:val="center"/>
          </w:tcPr>
          <w:p w14:paraId="6B59DF4A">
            <w:pPr>
              <w:jc w:val="center"/>
              <w:rPr>
                <w:rFonts w:hint="eastAsia" w:ascii="宋体" w:hAnsi="宋体" w:eastAsia="宋体" w:cs="宋体"/>
                <w:sz w:val="21"/>
                <w:szCs w:val="21"/>
                <w:lang w:val="en-US" w:eastAsia="zh-CN"/>
              </w:rPr>
            </w:pPr>
          </w:p>
        </w:tc>
        <w:tc>
          <w:tcPr>
            <w:tcW w:w="712" w:type="dxa"/>
            <w:vAlign w:val="center"/>
          </w:tcPr>
          <w:p w14:paraId="3BB7D2E3">
            <w:pPr>
              <w:jc w:val="center"/>
              <w:rPr>
                <w:rFonts w:hint="eastAsia" w:ascii="宋体" w:hAnsi="宋体" w:eastAsia="宋体" w:cs="宋体"/>
                <w:sz w:val="21"/>
                <w:szCs w:val="21"/>
                <w:lang w:val="en-US" w:eastAsia="zh-CN"/>
              </w:rPr>
            </w:pPr>
          </w:p>
        </w:tc>
        <w:tc>
          <w:tcPr>
            <w:tcW w:w="712" w:type="dxa"/>
            <w:vAlign w:val="center"/>
          </w:tcPr>
          <w:p w14:paraId="0461B583">
            <w:pPr>
              <w:jc w:val="center"/>
              <w:rPr>
                <w:rFonts w:hint="eastAsia" w:ascii="宋体" w:hAnsi="宋体" w:eastAsia="宋体" w:cs="宋体"/>
                <w:sz w:val="21"/>
                <w:szCs w:val="21"/>
                <w:lang w:val="en-US" w:eastAsia="zh-CN"/>
              </w:rPr>
            </w:pPr>
          </w:p>
        </w:tc>
        <w:tc>
          <w:tcPr>
            <w:tcW w:w="783" w:type="dxa"/>
            <w:vAlign w:val="center"/>
          </w:tcPr>
          <w:p w14:paraId="1F599321">
            <w:pPr>
              <w:jc w:val="center"/>
              <w:rPr>
                <w:rFonts w:hint="eastAsia" w:ascii="宋体" w:hAnsi="宋体" w:eastAsia="宋体" w:cs="宋体"/>
                <w:sz w:val="21"/>
                <w:szCs w:val="21"/>
                <w:lang w:val="en-US" w:eastAsia="zh-CN"/>
              </w:rPr>
            </w:pPr>
          </w:p>
        </w:tc>
      </w:tr>
      <w:tr w14:paraId="7A18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jc w:val="center"/>
        </w:trPr>
        <w:tc>
          <w:tcPr>
            <w:tcW w:w="782" w:type="dxa"/>
            <w:vAlign w:val="center"/>
          </w:tcPr>
          <w:p w14:paraId="797961E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答案</w:t>
            </w:r>
          </w:p>
        </w:tc>
        <w:tc>
          <w:tcPr>
            <w:tcW w:w="782" w:type="dxa"/>
            <w:vAlign w:val="center"/>
          </w:tcPr>
          <w:p w14:paraId="1B3211E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w:t>
            </w:r>
          </w:p>
        </w:tc>
        <w:tc>
          <w:tcPr>
            <w:tcW w:w="782" w:type="dxa"/>
            <w:vAlign w:val="center"/>
          </w:tcPr>
          <w:p w14:paraId="21EE78D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w:t>
            </w:r>
          </w:p>
        </w:tc>
        <w:tc>
          <w:tcPr>
            <w:tcW w:w="783" w:type="dxa"/>
            <w:vAlign w:val="center"/>
          </w:tcPr>
          <w:p w14:paraId="68C022A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w:t>
            </w:r>
          </w:p>
        </w:tc>
        <w:tc>
          <w:tcPr>
            <w:tcW w:w="783" w:type="dxa"/>
            <w:vAlign w:val="center"/>
          </w:tcPr>
          <w:p w14:paraId="40480B0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w:t>
            </w:r>
          </w:p>
        </w:tc>
        <w:tc>
          <w:tcPr>
            <w:tcW w:w="783" w:type="dxa"/>
            <w:vAlign w:val="center"/>
          </w:tcPr>
          <w:p w14:paraId="498A327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w:t>
            </w:r>
          </w:p>
        </w:tc>
        <w:tc>
          <w:tcPr>
            <w:tcW w:w="712" w:type="dxa"/>
            <w:vAlign w:val="center"/>
          </w:tcPr>
          <w:p w14:paraId="0677E113">
            <w:pPr>
              <w:jc w:val="center"/>
              <w:rPr>
                <w:rFonts w:hint="eastAsia" w:ascii="宋体" w:hAnsi="宋体" w:eastAsia="宋体" w:cs="宋体"/>
                <w:sz w:val="21"/>
                <w:szCs w:val="21"/>
                <w:lang w:val="en-US" w:eastAsia="zh-CN"/>
              </w:rPr>
            </w:pPr>
          </w:p>
        </w:tc>
        <w:tc>
          <w:tcPr>
            <w:tcW w:w="712" w:type="dxa"/>
            <w:vAlign w:val="center"/>
          </w:tcPr>
          <w:p w14:paraId="4B332D08">
            <w:pPr>
              <w:jc w:val="center"/>
              <w:rPr>
                <w:rFonts w:hint="eastAsia" w:ascii="宋体" w:hAnsi="宋体" w:eastAsia="宋体" w:cs="宋体"/>
                <w:sz w:val="21"/>
                <w:szCs w:val="21"/>
                <w:lang w:val="en-US" w:eastAsia="zh-CN"/>
              </w:rPr>
            </w:pPr>
          </w:p>
        </w:tc>
        <w:tc>
          <w:tcPr>
            <w:tcW w:w="712" w:type="dxa"/>
            <w:vAlign w:val="center"/>
          </w:tcPr>
          <w:p w14:paraId="1201BEEE">
            <w:pPr>
              <w:jc w:val="center"/>
              <w:rPr>
                <w:rFonts w:hint="eastAsia" w:ascii="宋体" w:hAnsi="宋体" w:eastAsia="宋体" w:cs="宋体"/>
                <w:sz w:val="21"/>
                <w:szCs w:val="21"/>
                <w:lang w:val="en-US" w:eastAsia="zh-CN"/>
              </w:rPr>
            </w:pPr>
          </w:p>
        </w:tc>
        <w:tc>
          <w:tcPr>
            <w:tcW w:w="712" w:type="dxa"/>
            <w:vAlign w:val="center"/>
          </w:tcPr>
          <w:p w14:paraId="7A1E40D8">
            <w:pPr>
              <w:jc w:val="center"/>
              <w:rPr>
                <w:rFonts w:hint="eastAsia" w:ascii="宋体" w:hAnsi="宋体" w:eastAsia="宋体" w:cs="宋体"/>
                <w:sz w:val="21"/>
                <w:szCs w:val="21"/>
                <w:lang w:val="en-US" w:eastAsia="zh-CN"/>
              </w:rPr>
            </w:pPr>
          </w:p>
        </w:tc>
        <w:tc>
          <w:tcPr>
            <w:tcW w:w="783" w:type="dxa"/>
            <w:vAlign w:val="center"/>
          </w:tcPr>
          <w:p w14:paraId="5A0D652D">
            <w:pPr>
              <w:jc w:val="center"/>
              <w:rPr>
                <w:rFonts w:hint="eastAsia" w:ascii="宋体" w:hAnsi="宋体" w:eastAsia="宋体" w:cs="宋体"/>
                <w:sz w:val="21"/>
                <w:szCs w:val="21"/>
                <w:lang w:val="en-US" w:eastAsia="zh-CN"/>
              </w:rPr>
            </w:pPr>
          </w:p>
        </w:tc>
      </w:tr>
    </w:tbl>
    <w:p w14:paraId="1359C5CE">
      <w:pPr>
        <w:spacing w:line="288" w:lineRule="auto"/>
        <w:rPr>
          <w:rFonts w:hint="eastAsia" w:ascii="宋体" w:hAnsi="宋体"/>
        </w:rPr>
      </w:pPr>
    </w:p>
    <w:p w14:paraId="4E7DB140">
      <w:pPr>
        <w:rPr>
          <w:rFonts w:hint="eastAsia" w:ascii="黑体" w:hAnsi="黑体" w:eastAsia="黑体" w:cs="黑体"/>
          <w:b w:val="0"/>
          <w:bCs/>
          <w:sz w:val="21"/>
          <w:szCs w:val="21"/>
          <w:lang w:val="en-US" w:eastAsia="zh-CN"/>
        </w:rPr>
      </w:pPr>
    </w:p>
    <w:p w14:paraId="5FE9D518">
      <w:pPr>
        <w:rPr>
          <w:rFonts w:hint="eastAsia" w:ascii="黑体" w:hAnsi="黑体" w:eastAsia="黑体" w:cs="黑体"/>
          <w:b w:val="0"/>
          <w:bCs/>
          <w:sz w:val="21"/>
          <w:szCs w:val="21"/>
          <w:lang w:val="en-US" w:eastAsia="zh-CN"/>
        </w:rPr>
      </w:pPr>
    </w:p>
    <w:p w14:paraId="6ADDA2BA">
      <w:pPr>
        <w:rPr>
          <w:rFonts w:hint="eastAsia" w:ascii="黑体" w:hAnsi="黑体" w:eastAsia="黑体" w:cs="黑体"/>
          <w:b w:val="0"/>
          <w:bCs/>
          <w:sz w:val="21"/>
          <w:szCs w:val="21"/>
          <w:lang w:val="en-US" w:eastAsia="zh-CN"/>
        </w:rPr>
      </w:pPr>
    </w:p>
    <w:p w14:paraId="52D39BAB">
      <w:pPr>
        <w:rPr>
          <w:rFonts w:hint="eastAsia" w:ascii="黑体" w:hAnsi="黑体" w:eastAsia="黑体" w:cs="黑体"/>
          <w:b w:val="0"/>
          <w:bCs/>
          <w:sz w:val="21"/>
          <w:szCs w:val="21"/>
          <w:lang w:val="en-US" w:eastAsia="zh-CN"/>
        </w:rPr>
      </w:pPr>
    </w:p>
    <w:p w14:paraId="23F2C293">
      <w:pPr>
        <w:rPr>
          <w:rFonts w:hint="eastAsia" w:ascii="黑体" w:hAnsi="黑体" w:eastAsia="黑体" w:cs="黑体"/>
          <w:b w:val="0"/>
          <w:bCs/>
          <w:sz w:val="21"/>
          <w:szCs w:val="21"/>
          <w:lang w:val="en-US" w:eastAsia="zh-CN"/>
        </w:rPr>
      </w:pPr>
      <w:r>
        <w:rPr>
          <w:rFonts w:hint="eastAsia" w:ascii="黑体" w:hAnsi="黑体" w:eastAsia="黑体" w:cs="黑体"/>
          <w:b w:val="0"/>
          <w:bCs/>
          <w:sz w:val="21"/>
          <w:szCs w:val="21"/>
          <w:lang w:val="en-US" w:eastAsia="zh-CN"/>
        </w:rPr>
        <w:t>二、非选择题：本大题共4题，满分55分，其中第16题13分，第17题13分，第18题16分，第19题13分。</w:t>
      </w:r>
    </w:p>
    <w:p w14:paraId="32EE659F">
      <w:pPr>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16．评分标准：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906"/>
        <w:gridCol w:w="1168"/>
        <w:gridCol w:w="2599"/>
        <w:gridCol w:w="2599"/>
        <w:gridCol w:w="1295"/>
      </w:tblGrid>
      <w:tr w14:paraId="0F14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7" w:hRule="atLeast"/>
        </w:trPr>
        <w:tc>
          <w:tcPr>
            <w:tcW w:w="1906" w:type="dxa"/>
            <w:vAlign w:val="center"/>
          </w:tcPr>
          <w:p w14:paraId="533FB9B6">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论点明确，2分</w:t>
            </w:r>
          </w:p>
        </w:tc>
        <w:tc>
          <w:tcPr>
            <w:tcW w:w="7661" w:type="dxa"/>
            <w:gridSpan w:val="4"/>
            <w:vAlign w:val="center"/>
          </w:tcPr>
          <w:p w14:paraId="3964508C">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良渚文化体现出早期国家的特征（或具备国家的初始形态）。</w:t>
            </w:r>
          </w:p>
        </w:tc>
      </w:tr>
      <w:tr w14:paraId="2A54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4" w:hRule="atLeast"/>
        </w:trPr>
        <w:tc>
          <w:tcPr>
            <w:tcW w:w="1906" w:type="dxa"/>
            <w:vMerge w:val="restart"/>
            <w:vAlign w:val="top"/>
          </w:tcPr>
          <w:p w14:paraId="799F0D88">
            <w:pPr>
              <w:ind w:firstLine="210" w:firstLineChars="100"/>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论证：共9分</w:t>
            </w:r>
          </w:p>
          <w:p w14:paraId="39A48D62">
            <w:pPr>
              <w:ind w:firstLine="210" w:firstLineChars="100"/>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史论结合</w:t>
            </w:r>
          </w:p>
          <w:p w14:paraId="7AE4EBD8">
            <w:pPr>
              <w:ind w:firstLine="210" w:firstLineChars="100"/>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逻辑严谨。</w:t>
            </w:r>
          </w:p>
          <w:p w14:paraId="67A73650">
            <w:pPr>
              <w:ind w:firstLine="210" w:firstLineChars="100"/>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分角度阐述（有</w:t>
            </w:r>
          </w:p>
          <w:p w14:paraId="200504CF">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条理但没有明确写出角度也以），每个角度的史实不求全，结论言之有理即可，不抠字</w:t>
            </w:r>
          </w:p>
          <w:p w14:paraId="24EC4712">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眼。</w:t>
            </w:r>
          </w:p>
        </w:tc>
        <w:tc>
          <w:tcPr>
            <w:tcW w:w="1168" w:type="dxa"/>
            <w:vAlign w:val="center"/>
          </w:tcPr>
          <w:p w14:paraId="73F28829">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角度</w:t>
            </w:r>
          </w:p>
        </w:tc>
        <w:tc>
          <w:tcPr>
            <w:tcW w:w="2599" w:type="dxa"/>
            <w:vAlign w:val="center"/>
          </w:tcPr>
          <w:p w14:paraId="5DD24280">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史实</w:t>
            </w:r>
          </w:p>
        </w:tc>
        <w:tc>
          <w:tcPr>
            <w:tcW w:w="3894" w:type="dxa"/>
            <w:gridSpan w:val="2"/>
            <w:vAlign w:val="center"/>
          </w:tcPr>
          <w:p w14:paraId="4C338010">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论述</w:t>
            </w:r>
          </w:p>
        </w:tc>
      </w:tr>
      <w:tr w14:paraId="014843A4">
        <w:tblPrEx>
          <w:tblCellMar>
            <w:top w:w="0" w:type="dxa"/>
            <w:left w:w="10" w:type="dxa"/>
            <w:bottom w:w="0" w:type="dxa"/>
            <w:right w:w="10" w:type="dxa"/>
          </w:tblCellMar>
        </w:tblPrEx>
        <w:trPr>
          <w:trHeight w:val="581" w:hRule="atLeast"/>
        </w:trPr>
        <w:tc>
          <w:tcPr>
            <w:tcW w:w="1906" w:type="dxa"/>
            <w:vMerge w:val="continue"/>
          </w:tcPr>
          <w:p w14:paraId="5EB447AB">
            <w:pPr>
              <w:jc w:val="center"/>
              <w:rPr>
                <w:rFonts w:hint="eastAsia" w:ascii="宋体" w:hAnsi="宋体" w:eastAsia="宋体" w:cs="宋体"/>
                <w:b w:val="0"/>
                <w:bCs/>
                <w:sz w:val="21"/>
                <w:szCs w:val="21"/>
                <w:lang w:val="en-US" w:eastAsia="zh-CN"/>
              </w:rPr>
            </w:pPr>
          </w:p>
        </w:tc>
        <w:tc>
          <w:tcPr>
            <w:tcW w:w="1168" w:type="dxa"/>
            <w:vMerge w:val="restart"/>
            <w:vAlign w:val="top"/>
          </w:tcPr>
          <w:p w14:paraId="303AC5C4">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政治</w:t>
            </w:r>
          </w:p>
          <w:p w14:paraId="58474518">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（4分）</w:t>
            </w:r>
          </w:p>
        </w:tc>
        <w:tc>
          <w:tcPr>
            <w:tcW w:w="2599" w:type="dxa"/>
            <w:vAlign w:val="center"/>
          </w:tcPr>
          <w:p w14:paraId="60529B7B">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古城布局、规模、人工</w:t>
            </w:r>
          </w:p>
          <w:p w14:paraId="3DB991C4">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水坝、祭坛、墓地等</w:t>
            </w:r>
          </w:p>
        </w:tc>
        <w:tc>
          <w:tcPr>
            <w:tcW w:w="2599" w:type="dxa"/>
            <w:vAlign w:val="center"/>
          </w:tcPr>
          <w:p w14:paraId="180D5610">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具有较强的社会动员、</w:t>
            </w:r>
          </w:p>
          <w:p w14:paraId="0BA6F5CE">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组织、管理水平</w:t>
            </w:r>
          </w:p>
        </w:tc>
        <w:tc>
          <w:tcPr>
            <w:tcW w:w="1295" w:type="dxa"/>
            <w:vMerge w:val="restart"/>
            <w:vAlign w:val="center"/>
          </w:tcPr>
          <w:p w14:paraId="046FD7AA">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具有早期国</w:t>
            </w:r>
          </w:p>
          <w:p w14:paraId="63942900">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家的社会结</w:t>
            </w:r>
          </w:p>
          <w:p w14:paraId="0A40E608">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构和政治管</w:t>
            </w:r>
          </w:p>
          <w:p w14:paraId="18691307">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理体系</w:t>
            </w:r>
          </w:p>
        </w:tc>
      </w:tr>
      <w:tr w14:paraId="0CB19F8A">
        <w:tblPrEx>
          <w:tblCellMar>
            <w:top w:w="0" w:type="dxa"/>
            <w:left w:w="10" w:type="dxa"/>
            <w:bottom w:w="0" w:type="dxa"/>
            <w:right w:w="10" w:type="dxa"/>
          </w:tblCellMar>
        </w:tblPrEx>
        <w:trPr>
          <w:trHeight w:val="462" w:hRule="atLeast"/>
        </w:trPr>
        <w:tc>
          <w:tcPr>
            <w:tcW w:w="1906" w:type="dxa"/>
            <w:vMerge w:val="continue"/>
          </w:tcPr>
          <w:p w14:paraId="421294D7">
            <w:pPr>
              <w:jc w:val="center"/>
              <w:rPr>
                <w:rFonts w:hint="eastAsia" w:ascii="宋体" w:hAnsi="宋体" w:eastAsia="宋体" w:cs="宋体"/>
                <w:b w:val="0"/>
                <w:bCs/>
                <w:sz w:val="21"/>
                <w:szCs w:val="21"/>
                <w:lang w:val="en-US" w:eastAsia="zh-CN"/>
              </w:rPr>
            </w:pPr>
          </w:p>
        </w:tc>
        <w:tc>
          <w:tcPr>
            <w:tcW w:w="1168" w:type="dxa"/>
            <w:vMerge w:val="continue"/>
          </w:tcPr>
          <w:p w14:paraId="0E478B6B">
            <w:pPr>
              <w:jc w:val="center"/>
              <w:rPr>
                <w:rFonts w:hint="eastAsia" w:ascii="宋体" w:hAnsi="宋体" w:eastAsia="宋体" w:cs="宋体"/>
                <w:b w:val="0"/>
                <w:bCs/>
                <w:sz w:val="21"/>
                <w:szCs w:val="21"/>
                <w:lang w:val="en-US" w:eastAsia="zh-CN"/>
              </w:rPr>
            </w:pPr>
          </w:p>
        </w:tc>
        <w:tc>
          <w:tcPr>
            <w:tcW w:w="2599" w:type="dxa"/>
            <w:vAlign w:val="center"/>
          </w:tcPr>
          <w:p w14:paraId="00FE64DD">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规模不等的慕地、玉</w:t>
            </w:r>
          </w:p>
          <w:p w14:paraId="71BFFE12">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琮、玉钺</w:t>
            </w:r>
          </w:p>
        </w:tc>
        <w:tc>
          <w:tcPr>
            <w:tcW w:w="2599" w:type="dxa"/>
            <w:vAlign w:val="center"/>
          </w:tcPr>
          <w:p w14:paraId="63F17087">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社会分化、等级界限、</w:t>
            </w:r>
          </w:p>
          <w:p w14:paraId="4899B101">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王权出现</w:t>
            </w:r>
          </w:p>
        </w:tc>
        <w:tc>
          <w:tcPr>
            <w:tcW w:w="1295" w:type="dxa"/>
            <w:vMerge w:val="continue"/>
          </w:tcPr>
          <w:p w14:paraId="3F63925A">
            <w:pPr>
              <w:jc w:val="center"/>
              <w:rPr>
                <w:rFonts w:hint="eastAsia" w:ascii="宋体" w:hAnsi="宋体" w:eastAsia="宋体" w:cs="宋体"/>
                <w:b w:val="0"/>
                <w:bCs/>
                <w:sz w:val="21"/>
                <w:szCs w:val="21"/>
                <w:lang w:val="en-US" w:eastAsia="zh-CN"/>
              </w:rPr>
            </w:pPr>
          </w:p>
        </w:tc>
      </w:tr>
      <w:tr w14:paraId="5F93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4" w:hRule="atLeast"/>
        </w:trPr>
        <w:tc>
          <w:tcPr>
            <w:tcW w:w="1906" w:type="dxa"/>
            <w:vMerge w:val="continue"/>
          </w:tcPr>
          <w:p w14:paraId="59493791">
            <w:pPr>
              <w:jc w:val="center"/>
              <w:rPr>
                <w:rFonts w:hint="eastAsia" w:ascii="宋体" w:hAnsi="宋体" w:eastAsia="宋体" w:cs="宋体"/>
                <w:b w:val="0"/>
                <w:bCs/>
                <w:sz w:val="21"/>
                <w:szCs w:val="21"/>
                <w:lang w:val="en-US" w:eastAsia="zh-CN"/>
              </w:rPr>
            </w:pPr>
          </w:p>
        </w:tc>
        <w:tc>
          <w:tcPr>
            <w:tcW w:w="1168" w:type="dxa"/>
            <w:vMerge w:val="restart"/>
            <w:vAlign w:val="top"/>
          </w:tcPr>
          <w:p w14:paraId="15A20FE0">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经济</w:t>
            </w:r>
          </w:p>
          <w:p w14:paraId="1BA82A4B">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（4分）</w:t>
            </w:r>
          </w:p>
        </w:tc>
        <w:tc>
          <w:tcPr>
            <w:tcW w:w="2599" w:type="dxa"/>
            <w:vAlign w:val="center"/>
          </w:tcPr>
          <w:p w14:paraId="53C80ACD">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（农业）炭化稻米堆积</w:t>
            </w:r>
          </w:p>
        </w:tc>
        <w:tc>
          <w:tcPr>
            <w:tcW w:w="2599" w:type="dxa"/>
            <w:vAlign w:val="center"/>
          </w:tcPr>
          <w:p w14:paraId="7F199FDC">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稻作农业发达，可能形</w:t>
            </w:r>
          </w:p>
          <w:p w14:paraId="6ADC9C4B">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成贡赋制度</w:t>
            </w:r>
          </w:p>
        </w:tc>
        <w:tc>
          <w:tcPr>
            <w:tcW w:w="1295" w:type="dxa"/>
            <w:vMerge w:val="restart"/>
            <w:vAlign w:val="top"/>
          </w:tcPr>
          <w:p w14:paraId="1511D879">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体现社会分</w:t>
            </w:r>
          </w:p>
          <w:p w14:paraId="75C59F6F">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工，具备早</w:t>
            </w:r>
          </w:p>
          <w:p w14:paraId="0133ADD4">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期国家的物</w:t>
            </w:r>
          </w:p>
          <w:p w14:paraId="1DDC33EC">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质基础</w:t>
            </w:r>
          </w:p>
        </w:tc>
      </w:tr>
      <w:tr w14:paraId="0387C168">
        <w:tblPrEx>
          <w:tblCellMar>
            <w:top w:w="0" w:type="dxa"/>
            <w:left w:w="10" w:type="dxa"/>
            <w:bottom w:w="0" w:type="dxa"/>
            <w:right w:w="10" w:type="dxa"/>
          </w:tblCellMar>
        </w:tblPrEx>
        <w:trPr>
          <w:trHeight w:val="914" w:hRule="atLeast"/>
        </w:trPr>
        <w:tc>
          <w:tcPr>
            <w:tcW w:w="1906" w:type="dxa"/>
            <w:vMerge w:val="continue"/>
          </w:tcPr>
          <w:p w14:paraId="288F2F6F">
            <w:pPr>
              <w:jc w:val="center"/>
              <w:rPr>
                <w:rFonts w:hint="eastAsia" w:ascii="宋体" w:hAnsi="宋体" w:eastAsia="宋体" w:cs="宋体"/>
                <w:b w:val="0"/>
                <w:bCs/>
                <w:sz w:val="21"/>
                <w:szCs w:val="21"/>
                <w:lang w:val="en-US" w:eastAsia="zh-CN"/>
              </w:rPr>
            </w:pPr>
          </w:p>
        </w:tc>
        <w:tc>
          <w:tcPr>
            <w:tcW w:w="1168" w:type="dxa"/>
            <w:vMerge w:val="continue"/>
          </w:tcPr>
          <w:p w14:paraId="48F13586">
            <w:pPr>
              <w:jc w:val="center"/>
              <w:rPr>
                <w:rFonts w:hint="eastAsia" w:ascii="宋体" w:hAnsi="宋体" w:eastAsia="宋体" w:cs="宋体"/>
                <w:b w:val="0"/>
                <w:bCs/>
                <w:sz w:val="21"/>
                <w:szCs w:val="21"/>
                <w:lang w:val="en-US" w:eastAsia="zh-CN"/>
              </w:rPr>
            </w:pPr>
          </w:p>
        </w:tc>
        <w:tc>
          <w:tcPr>
            <w:tcW w:w="2599" w:type="dxa"/>
            <w:vAlign w:val="center"/>
          </w:tcPr>
          <w:p w14:paraId="5DCC6B16">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（手工业）手工业作坊</w:t>
            </w:r>
          </w:p>
          <w:p w14:paraId="0EB41849">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区、玉琮、玉钺及其形</w:t>
            </w:r>
          </w:p>
          <w:p w14:paraId="1564422B">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状纹饰</w:t>
            </w:r>
          </w:p>
        </w:tc>
        <w:tc>
          <w:tcPr>
            <w:tcW w:w="2599" w:type="dxa"/>
            <w:vAlign w:val="center"/>
          </w:tcPr>
          <w:p w14:paraId="75C1C017">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手工业集中规模化生</w:t>
            </w:r>
          </w:p>
          <w:p w14:paraId="1E2BE939">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产、产量大、技术高、</w:t>
            </w:r>
          </w:p>
          <w:p w14:paraId="29FBD5AA">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工艺高</w:t>
            </w:r>
          </w:p>
        </w:tc>
        <w:tc>
          <w:tcPr>
            <w:tcW w:w="1295" w:type="dxa"/>
            <w:vMerge w:val="continue"/>
          </w:tcPr>
          <w:p w14:paraId="541493C3">
            <w:pPr>
              <w:jc w:val="center"/>
              <w:rPr>
                <w:rFonts w:hint="eastAsia" w:ascii="宋体" w:hAnsi="宋体" w:eastAsia="宋体" w:cs="宋体"/>
                <w:b w:val="0"/>
                <w:bCs/>
                <w:sz w:val="21"/>
                <w:szCs w:val="21"/>
                <w:lang w:val="en-US" w:eastAsia="zh-CN"/>
              </w:rPr>
            </w:pPr>
          </w:p>
        </w:tc>
      </w:tr>
      <w:tr w14:paraId="5A2B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9" w:hRule="atLeast"/>
        </w:trPr>
        <w:tc>
          <w:tcPr>
            <w:tcW w:w="1906" w:type="dxa"/>
            <w:vMerge w:val="continue"/>
          </w:tcPr>
          <w:p w14:paraId="7B80D2BA">
            <w:pPr>
              <w:jc w:val="center"/>
              <w:rPr>
                <w:rFonts w:hint="eastAsia" w:ascii="宋体" w:hAnsi="宋体" w:eastAsia="宋体" w:cs="宋体"/>
                <w:b w:val="0"/>
                <w:bCs/>
                <w:sz w:val="21"/>
                <w:szCs w:val="21"/>
                <w:lang w:val="en-US" w:eastAsia="zh-CN"/>
              </w:rPr>
            </w:pPr>
          </w:p>
        </w:tc>
        <w:tc>
          <w:tcPr>
            <w:tcW w:w="1168" w:type="dxa"/>
            <w:vMerge w:val="restart"/>
            <w:vAlign w:val="top"/>
          </w:tcPr>
          <w:p w14:paraId="6E5A8C2E">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文化</w:t>
            </w:r>
          </w:p>
          <w:p w14:paraId="7D2783D8">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（2分）</w:t>
            </w:r>
          </w:p>
        </w:tc>
        <w:tc>
          <w:tcPr>
            <w:tcW w:w="2599" w:type="dxa"/>
            <w:vAlign w:val="center"/>
          </w:tcPr>
          <w:p w14:paraId="434E8F73">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祭坛、刻有统一的神人</w:t>
            </w:r>
          </w:p>
          <w:p w14:paraId="6721240C">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兽面纹、神祇崇拜和祭</w:t>
            </w:r>
          </w:p>
          <w:p w14:paraId="19BAB554">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祀活动</w:t>
            </w:r>
          </w:p>
        </w:tc>
        <w:tc>
          <w:tcPr>
            <w:tcW w:w="2599" w:type="dxa"/>
            <w:vAlign w:val="top"/>
          </w:tcPr>
          <w:p w14:paraId="64B97441">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具有统一的宗教信仰，反映了社会对精神文化的重视</w:t>
            </w:r>
          </w:p>
        </w:tc>
        <w:tc>
          <w:tcPr>
            <w:tcW w:w="1295" w:type="dxa"/>
            <w:vMerge w:val="restart"/>
            <w:vAlign w:val="top"/>
          </w:tcPr>
          <w:p w14:paraId="17E69A1E">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体现早期国</w:t>
            </w:r>
          </w:p>
          <w:p w14:paraId="25AB7E1D">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家精神信仰</w:t>
            </w:r>
          </w:p>
          <w:p w14:paraId="29A0AD83">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和文化水平</w:t>
            </w:r>
          </w:p>
        </w:tc>
      </w:tr>
      <w:tr w14:paraId="10D7575E">
        <w:tblPrEx>
          <w:tblCellMar>
            <w:top w:w="0" w:type="dxa"/>
            <w:left w:w="10" w:type="dxa"/>
            <w:bottom w:w="0" w:type="dxa"/>
            <w:right w:w="10" w:type="dxa"/>
          </w:tblCellMar>
        </w:tblPrEx>
        <w:trPr>
          <w:trHeight w:val="458" w:hRule="atLeast"/>
        </w:trPr>
        <w:tc>
          <w:tcPr>
            <w:tcW w:w="1906" w:type="dxa"/>
            <w:vMerge w:val="continue"/>
          </w:tcPr>
          <w:p w14:paraId="36E15675">
            <w:pPr>
              <w:jc w:val="center"/>
              <w:rPr>
                <w:rFonts w:hint="eastAsia" w:ascii="宋体" w:hAnsi="宋体" w:eastAsia="宋体" w:cs="宋体"/>
                <w:b w:val="0"/>
                <w:bCs/>
                <w:sz w:val="21"/>
                <w:szCs w:val="21"/>
                <w:lang w:val="en-US" w:eastAsia="zh-CN"/>
              </w:rPr>
            </w:pPr>
          </w:p>
        </w:tc>
        <w:tc>
          <w:tcPr>
            <w:tcW w:w="1168" w:type="dxa"/>
            <w:vMerge w:val="continue"/>
          </w:tcPr>
          <w:p w14:paraId="38ABDF1B">
            <w:pPr>
              <w:jc w:val="center"/>
              <w:rPr>
                <w:rFonts w:hint="eastAsia" w:ascii="宋体" w:hAnsi="宋体" w:eastAsia="宋体" w:cs="宋体"/>
                <w:b w:val="0"/>
                <w:bCs/>
                <w:sz w:val="21"/>
                <w:szCs w:val="21"/>
                <w:lang w:val="en-US" w:eastAsia="zh-CN"/>
              </w:rPr>
            </w:pPr>
          </w:p>
        </w:tc>
        <w:tc>
          <w:tcPr>
            <w:tcW w:w="2599" w:type="dxa"/>
            <w:vAlign w:val="center"/>
          </w:tcPr>
          <w:p w14:paraId="6DA8193B">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古城布局、河道、水坝</w:t>
            </w:r>
          </w:p>
        </w:tc>
        <w:tc>
          <w:tcPr>
            <w:tcW w:w="2599" w:type="dxa"/>
            <w:vAlign w:val="top"/>
          </w:tcPr>
          <w:p w14:paraId="4757BD3A">
            <w:pPr>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建筑和水利设计文化较高</w:t>
            </w:r>
          </w:p>
        </w:tc>
        <w:tc>
          <w:tcPr>
            <w:tcW w:w="1295" w:type="dxa"/>
            <w:vMerge w:val="continue"/>
          </w:tcPr>
          <w:p w14:paraId="1700DBBE">
            <w:pPr>
              <w:jc w:val="center"/>
              <w:rPr>
                <w:rFonts w:hint="eastAsia" w:ascii="宋体" w:hAnsi="宋体" w:eastAsia="宋体" w:cs="宋体"/>
                <w:b w:val="0"/>
                <w:bCs/>
                <w:sz w:val="21"/>
                <w:szCs w:val="21"/>
                <w:lang w:val="en-US" w:eastAsia="zh-CN"/>
              </w:rPr>
            </w:pPr>
          </w:p>
        </w:tc>
      </w:tr>
      <w:tr w14:paraId="6DC1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4" w:hRule="atLeast"/>
        </w:trPr>
        <w:tc>
          <w:tcPr>
            <w:tcW w:w="1906" w:type="dxa"/>
            <w:vAlign w:val="center"/>
          </w:tcPr>
          <w:p w14:paraId="22EF4E43">
            <w:pPr>
              <w:rPr>
                <w:rFonts w:hint="default" w:ascii="宋体" w:hAnsi="宋体"/>
                <w:b w:val="0"/>
                <w:bCs/>
                <w:sz w:val="21"/>
                <w:szCs w:val="21"/>
                <w:lang w:val="en-US" w:eastAsia="zh-CN"/>
              </w:rPr>
            </w:pPr>
            <w:r>
              <w:rPr>
                <w:rFonts w:hint="default" w:ascii="宋体" w:hAnsi="宋体"/>
                <w:b w:val="0"/>
                <w:bCs/>
                <w:sz w:val="21"/>
                <w:szCs w:val="21"/>
                <w:lang w:val="en-US" w:eastAsia="zh-CN"/>
              </w:rPr>
              <w:t>结论：1分</w:t>
            </w:r>
          </w:p>
          <w:p w14:paraId="5C9997AE">
            <w:pPr>
              <w:rPr>
                <w:rFonts w:hint="default" w:ascii="宋体" w:hAnsi="宋体"/>
                <w:b w:val="0"/>
                <w:bCs/>
                <w:sz w:val="21"/>
                <w:szCs w:val="21"/>
                <w:lang w:val="en-US" w:eastAsia="zh-CN"/>
              </w:rPr>
            </w:pPr>
            <w:r>
              <w:rPr>
                <w:rFonts w:hint="default" w:ascii="宋体" w:hAnsi="宋体"/>
                <w:b w:val="0"/>
                <w:bCs/>
                <w:sz w:val="21"/>
                <w:szCs w:val="21"/>
                <w:lang w:val="en-US" w:eastAsia="zh-CN"/>
              </w:rPr>
              <w:t>（言之有理即</w:t>
            </w:r>
          </w:p>
          <w:p w14:paraId="5BDD54F9">
            <w:pPr>
              <w:rPr>
                <w:rFonts w:hint="default" w:ascii="宋体" w:hAnsi="宋体"/>
                <w:b w:val="0"/>
                <w:bCs/>
                <w:sz w:val="21"/>
                <w:szCs w:val="21"/>
                <w:lang w:val="en-US" w:eastAsia="zh-CN"/>
              </w:rPr>
            </w:pPr>
            <w:r>
              <w:rPr>
                <w:rFonts w:hint="default" w:ascii="宋体" w:hAnsi="宋体"/>
                <w:b w:val="0"/>
                <w:bCs/>
                <w:sz w:val="21"/>
                <w:szCs w:val="21"/>
                <w:lang w:val="en-US" w:eastAsia="zh-CN"/>
              </w:rPr>
              <w:t>可，体现出三段</w:t>
            </w:r>
          </w:p>
          <w:p w14:paraId="282A2A76">
            <w:pPr>
              <w:rPr>
                <w:rFonts w:hint="default" w:ascii="宋体" w:hAnsi="宋体"/>
                <w:b w:val="0"/>
                <w:bCs/>
                <w:sz w:val="21"/>
                <w:szCs w:val="21"/>
                <w:lang w:val="en-US" w:eastAsia="zh-CN"/>
              </w:rPr>
            </w:pPr>
            <w:r>
              <w:rPr>
                <w:rFonts w:hint="default" w:ascii="宋体" w:hAnsi="宋体"/>
                <w:b w:val="0"/>
                <w:bCs/>
                <w:sz w:val="21"/>
                <w:szCs w:val="21"/>
                <w:lang w:val="en-US" w:eastAsia="zh-CN"/>
              </w:rPr>
              <w:t>式文体结构）</w:t>
            </w:r>
          </w:p>
        </w:tc>
        <w:tc>
          <w:tcPr>
            <w:tcW w:w="7661" w:type="dxa"/>
            <w:gridSpan w:val="4"/>
            <w:vAlign w:val="top"/>
          </w:tcPr>
          <w:p w14:paraId="0DD76EF4">
            <w:pPr>
              <w:rPr>
                <w:rFonts w:hint="default" w:ascii="宋体" w:hAnsi="宋体"/>
                <w:b w:val="0"/>
                <w:bCs/>
                <w:sz w:val="21"/>
                <w:szCs w:val="21"/>
                <w:lang w:val="en-US" w:eastAsia="zh-CN"/>
              </w:rPr>
            </w:pPr>
            <w:r>
              <w:rPr>
                <w:rFonts w:hint="default" w:ascii="宋体" w:hAnsi="宋体"/>
                <w:b w:val="0"/>
                <w:bCs/>
                <w:sz w:val="21"/>
                <w:szCs w:val="21"/>
                <w:lang w:val="en-US" w:eastAsia="zh-CN"/>
              </w:rPr>
              <w:t>良渚社会已经发展成为一个具有早期国家特征的文明社会，为研究长江流</w:t>
            </w:r>
          </w:p>
          <w:p w14:paraId="4FDB5243">
            <w:pPr>
              <w:rPr>
                <w:rFonts w:hint="default" w:ascii="宋体" w:hAnsi="宋体"/>
                <w:b w:val="0"/>
                <w:bCs/>
                <w:sz w:val="21"/>
                <w:szCs w:val="21"/>
                <w:lang w:val="en-US" w:eastAsia="zh-CN"/>
              </w:rPr>
            </w:pPr>
            <w:r>
              <w:rPr>
                <w:rFonts w:hint="default" w:ascii="宋体" w:hAnsi="宋体"/>
                <w:b w:val="0"/>
                <w:bCs/>
                <w:sz w:val="21"/>
                <w:szCs w:val="21"/>
                <w:lang w:val="en-US" w:eastAsia="zh-CN"/>
              </w:rPr>
              <w:t>域的文明起源提供范例，实证中华文明五千年的历史。</w:t>
            </w:r>
          </w:p>
        </w:tc>
      </w:tr>
    </w:tbl>
    <w:p w14:paraId="7D779A97">
      <w:pPr>
        <w:rPr>
          <w:rFonts w:hint="default" w:ascii="宋体" w:hAnsi="宋体"/>
          <w:b/>
          <w:bCs w:val="0"/>
          <w:sz w:val="21"/>
          <w:szCs w:val="21"/>
          <w:lang w:val="en-US" w:eastAsia="zh-CN"/>
        </w:rPr>
      </w:pPr>
    </w:p>
    <w:p w14:paraId="646B923D">
      <w:pPr>
        <w:rPr>
          <w:rFonts w:hint="default" w:ascii="宋体" w:hAnsi="宋体"/>
          <w:b/>
          <w:bCs w:val="0"/>
          <w:sz w:val="21"/>
          <w:szCs w:val="21"/>
          <w:lang w:val="en-US" w:eastAsia="zh-CN"/>
        </w:rPr>
      </w:pPr>
      <w:r>
        <w:rPr>
          <w:rFonts w:hint="default" w:ascii="宋体" w:hAnsi="宋体"/>
          <w:b/>
          <w:bCs w:val="0"/>
          <w:sz w:val="21"/>
          <w:szCs w:val="21"/>
          <w:lang w:val="en-US" w:eastAsia="zh-CN"/>
        </w:rPr>
        <w:t>17．</w:t>
      </w:r>
      <w:r>
        <w:rPr>
          <w:rFonts w:hint="eastAsia" w:ascii="宋体" w:hAnsi="宋体"/>
          <w:b/>
          <w:bCs w:val="0"/>
          <w:sz w:val="21"/>
          <w:szCs w:val="21"/>
          <w:lang w:val="en-US" w:eastAsia="zh-CN"/>
        </w:rPr>
        <w:t>（13分）</w:t>
      </w:r>
    </w:p>
    <w:p w14:paraId="37AA8AF4">
      <w:pPr>
        <w:rPr>
          <w:rFonts w:hint="default" w:ascii="宋体" w:hAnsi="宋体"/>
          <w:b w:val="0"/>
          <w:bCs/>
          <w:sz w:val="21"/>
          <w:szCs w:val="21"/>
          <w:lang w:val="en-US" w:eastAsia="zh-CN"/>
        </w:rPr>
      </w:pPr>
      <w:r>
        <w:rPr>
          <w:rFonts w:hint="default" w:ascii="宋体" w:hAnsi="宋体"/>
          <w:b w:val="0"/>
          <w:bCs/>
          <w:sz w:val="21"/>
          <w:szCs w:val="21"/>
          <w:lang w:val="en-US" w:eastAsia="zh-CN"/>
        </w:rPr>
        <w:t>（1）变化：目的由强兵到强种、强国；（1分）对象由军队（士兵）到学校（学生）。</w:t>
      </w:r>
    </w:p>
    <w:p w14:paraId="11AF8615">
      <w:pPr>
        <w:rPr>
          <w:rFonts w:hint="default" w:ascii="宋体" w:hAnsi="宋体"/>
          <w:b w:val="0"/>
          <w:bCs/>
          <w:sz w:val="21"/>
          <w:szCs w:val="21"/>
          <w:lang w:val="en-US" w:eastAsia="zh-CN"/>
        </w:rPr>
      </w:pPr>
      <w:r>
        <w:rPr>
          <w:rFonts w:hint="default" w:ascii="宋体" w:hAnsi="宋体"/>
          <w:b w:val="0"/>
          <w:bCs/>
          <w:sz w:val="21"/>
          <w:szCs w:val="21"/>
          <w:lang w:val="en-US" w:eastAsia="zh-CN"/>
        </w:rPr>
        <w:t>（1分）</w:t>
      </w:r>
    </w:p>
    <w:p w14:paraId="1AFA47DC">
      <w:pPr>
        <w:rPr>
          <w:rFonts w:hint="default" w:ascii="宋体" w:hAnsi="宋体"/>
          <w:b w:val="0"/>
          <w:bCs/>
          <w:sz w:val="21"/>
          <w:szCs w:val="21"/>
          <w:lang w:val="en-US" w:eastAsia="zh-CN"/>
        </w:rPr>
      </w:pPr>
      <w:r>
        <w:rPr>
          <w:rFonts w:hint="default" w:ascii="宋体" w:hAnsi="宋体"/>
          <w:b w:val="0"/>
          <w:bCs/>
          <w:sz w:val="21"/>
          <w:szCs w:val="21"/>
          <w:lang w:val="en-US" w:eastAsia="zh-CN"/>
        </w:rPr>
        <w:t>背景：西方列强侵略，民族危机加深；民族资本主义发展，民族资产阶级登上历史舞台；西学传播，维新思潮兴起。（3分）</w:t>
      </w:r>
    </w:p>
    <w:p w14:paraId="3C50DC22">
      <w:pPr>
        <w:rPr>
          <w:rFonts w:hint="default" w:ascii="宋体" w:hAnsi="宋体"/>
          <w:b w:val="0"/>
          <w:bCs/>
          <w:sz w:val="21"/>
          <w:szCs w:val="21"/>
          <w:lang w:val="en-US" w:eastAsia="zh-CN"/>
        </w:rPr>
      </w:pPr>
      <w:r>
        <w:rPr>
          <w:rFonts w:hint="default" w:ascii="宋体" w:hAnsi="宋体"/>
          <w:b w:val="0"/>
          <w:bCs/>
          <w:sz w:val="21"/>
          <w:szCs w:val="21"/>
          <w:lang w:val="en-US" w:eastAsia="zh-CN"/>
        </w:rPr>
        <w:t>（2）特点：学校体育体现军事性（化）；活动开展常态性（经常化）；竞技体育项目多样化；活动参与具有群众性、广泛性（大众化）。（4分）</w:t>
      </w:r>
    </w:p>
    <w:p w14:paraId="2C76D7F6">
      <w:pPr>
        <w:rPr>
          <w:rFonts w:hint="default" w:ascii="宋体" w:hAnsi="宋体"/>
          <w:b w:val="0"/>
          <w:bCs/>
          <w:sz w:val="21"/>
          <w:szCs w:val="21"/>
          <w:lang w:val="en-US" w:eastAsia="zh-CN"/>
        </w:rPr>
      </w:pPr>
      <w:r>
        <w:rPr>
          <w:rFonts w:hint="default" w:ascii="宋体" w:hAnsi="宋体"/>
          <w:b w:val="0"/>
          <w:bCs/>
          <w:sz w:val="21"/>
          <w:szCs w:val="21"/>
          <w:lang w:val="en-US" w:eastAsia="zh-CN"/>
        </w:rPr>
        <w:t>影响：有利于增强边区人民的体质；丰富了边区人民的生活；增强了军队的战斗力，有</w:t>
      </w:r>
    </w:p>
    <w:p w14:paraId="492FB535">
      <w:pPr>
        <w:rPr>
          <w:rFonts w:hint="default" w:ascii="宋体" w:hAnsi="宋体"/>
          <w:b w:val="0"/>
          <w:bCs/>
          <w:sz w:val="21"/>
          <w:szCs w:val="21"/>
          <w:lang w:val="en-US" w:eastAsia="zh-CN"/>
        </w:rPr>
      </w:pPr>
      <w:r>
        <w:rPr>
          <w:rFonts w:hint="default" w:ascii="宋体" w:hAnsi="宋体"/>
          <w:b w:val="0"/>
          <w:bCs/>
          <w:sz w:val="21"/>
          <w:szCs w:val="21"/>
          <w:lang w:val="en-US" w:eastAsia="zh-CN"/>
        </w:rPr>
        <w:t>利于抗战；为现代（人民）体育事业奠基。（4分）</w:t>
      </w:r>
    </w:p>
    <w:p w14:paraId="204233C3">
      <w:pPr>
        <w:rPr>
          <w:rFonts w:hint="default" w:ascii="宋体" w:hAnsi="宋体"/>
          <w:b/>
          <w:bCs w:val="0"/>
          <w:sz w:val="21"/>
          <w:szCs w:val="21"/>
          <w:lang w:val="en-US" w:eastAsia="zh-CN"/>
        </w:rPr>
      </w:pPr>
    </w:p>
    <w:p w14:paraId="54A1C574">
      <w:pPr>
        <w:rPr>
          <w:rFonts w:hint="default" w:ascii="宋体" w:hAnsi="宋体"/>
          <w:b/>
          <w:bCs w:val="0"/>
          <w:sz w:val="21"/>
          <w:szCs w:val="21"/>
          <w:lang w:val="en-US" w:eastAsia="zh-CN"/>
        </w:rPr>
      </w:pPr>
      <w:r>
        <w:rPr>
          <w:rFonts w:hint="default" w:ascii="宋体" w:hAnsi="宋体"/>
          <w:b/>
          <w:bCs w:val="0"/>
          <w:sz w:val="21"/>
          <w:szCs w:val="21"/>
          <w:lang w:val="en-US" w:eastAsia="zh-CN"/>
        </w:rPr>
        <w:t>18．</w:t>
      </w:r>
      <w:r>
        <w:rPr>
          <w:rFonts w:hint="eastAsia" w:ascii="宋体" w:hAnsi="宋体"/>
          <w:b/>
          <w:bCs w:val="0"/>
          <w:sz w:val="21"/>
          <w:szCs w:val="21"/>
          <w:lang w:val="en-US" w:eastAsia="zh-CN"/>
        </w:rPr>
        <w:t>（16分）</w:t>
      </w:r>
    </w:p>
    <w:p w14:paraId="6C5BC891">
      <w:pPr>
        <w:rPr>
          <w:rFonts w:hint="default" w:ascii="宋体" w:hAnsi="宋体"/>
          <w:b w:val="0"/>
          <w:bCs/>
          <w:sz w:val="21"/>
          <w:szCs w:val="21"/>
          <w:lang w:val="en-US" w:eastAsia="zh-CN"/>
        </w:rPr>
      </w:pPr>
      <w:r>
        <w:rPr>
          <w:rFonts w:hint="default" w:ascii="宋体" w:hAnsi="宋体"/>
          <w:b w:val="0"/>
          <w:bCs/>
          <w:sz w:val="21"/>
          <w:szCs w:val="21"/>
          <w:lang w:val="en-US" w:eastAsia="zh-CN"/>
        </w:rPr>
        <w:t>（1）推力：位于东南沿海，对外交通便利；自然灾害频发，民不聊生；人口大量增长，人地矛盾突出；东南沿海受列强侵略早，大量农民、手工业者破产；19世纪中叶后，清政府被迫允许列强在中国招募华工出国；当地有下南洋的传统。（6分）</w:t>
      </w:r>
    </w:p>
    <w:p w14:paraId="6C195CDC">
      <w:pPr>
        <w:rPr>
          <w:rFonts w:hint="default" w:ascii="宋体" w:hAnsi="宋体"/>
          <w:b w:val="0"/>
          <w:bCs/>
          <w:sz w:val="21"/>
          <w:szCs w:val="21"/>
          <w:lang w:val="en-US" w:eastAsia="zh-CN"/>
        </w:rPr>
      </w:pPr>
      <w:r>
        <w:rPr>
          <w:rFonts w:hint="default" w:ascii="宋体" w:hAnsi="宋体"/>
          <w:b w:val="0"/>
          <w:bCs/>
          <w:sz w:val="21"/>
          <w:szCs w:val="21"/>
          <w:lang w:val="en-US" w:eastAsia="zh-CN"/>
        </w:rPr>
        <w:t>拉力：西方国家废除黑人奴隶制，需要寻找新的廉价劳动力；工业革命的开展，需要大量劳动力：西方的诱骗、绑架（3分）。</w:t>
      </w:r>
    </w:p>
    <w:p w14:paraId="354BF952">
      <w:pPr>
        <w:rPr>
          <w:rFonts w:hint="default" w:ascii="宋体" w:hAnsi="宋体"/>
          <w:b w:val="0"/>
          <w:bCs/>
          <w:sz w:val="21"/>
          <w:szCs w:val="21"/>
          <w:lang w:val="en-US" w:eastAsia="zh-CN"/>
        </w:rPr>
      </w:pPr>
      <w:r>
        <w:rPr>
          <w:rFonts w:hint="default" w:ascii="宋体" w:hAnsi="宋体"/>
          <w:b w:val="0"/>
          <w:bCs/>
          <w:sz w:val="21"/>
          <w:szCs w:val="21"/>
          <w:lang w:val="en-US" w:eastAsia="zh-CN"/>
        </w:rPr>
        <w:t>（2）开采矿产资源，推动工业发展；（2分）开发土地资源，推动西部现代农业发展；（2分）修筑铁路，改善交通，使西部融入全国市场，加快了西部城市化进程。（3分）</w:t>
      </w:r>
    </w:p>
    <w:p w14:paraId="666FDBB8">
      <w:pPr>
        <w:rPr>
          <w:rFonts w:hint="eastAsia" w:ascii="宋体" w:hAnsi="宋体" w:eastAsia="宋体" w:cs="宋体"/>
          <w:b/>
          <w:bCs w:val="0"/>
          <w:sz w:val="21"/>
          <w:szCs w:val="21"/>
          <w:lang w:val="en-US" w:eastAsia="zh-CN"/>
        </w:rPr>
      </w:pPr>
    </w:p>
    <w:p w14:paraId="34D2A570">
      <w:pPr>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19．</w:t>
      </w:r>
      <w:r>
        <w:rPr>
          <w:rFonts w:hint="eastAsia" w:ascii="宋体" w:hAnsi="宋体"/>
          <w:b/>
          <w:bCs w:val="0"/>
          <w:sz w:val="21"/>
          <w:szCs w:val="21"/>
          <w:lang w:val="en-US" w:eastAsia="zh-CN"/>
        </w:rPr>
        <w:t>（13分）</w:t>
      </w:r>
    </w:p>
    <w:p w14:paraId="108EF805">
      <w:pPr>
        <w:ind w:firstLine="420" w:firstLineChars="200"/>
        <w:rPr>
          <w:rFonts w:hint="default" w:ascii="宋体" w:hAnsi="宋体"/>
          <w:b w:val="0"/>
          <w:bCs/>
          <w:sz w:val="21"/>
          <w:szCs w:val="21"/>
          <w:lang w:val="en-US" w:eastAsia="zh-CN"/>
        </w:rPr>
      </w:pPr>
      <w:r>
        <w:rPr>
          <w:rFonts w:hint="default" w:ascii="宋体" w:hAnsi="宋体"/>
          <w:b w:val="0"/>
          <w:bCs/>
          <w:sz w:val="21"/>
          <w:szCs w:val="21"/>
          <w:lang w:val="en-US" w:eastAsia="zh-CN"/>
        </w:rPr>
        <w:t>特点：1801-1939年迅速增长，城市化快速发展；（1分）1939-1959年略有下降，城市化速度放缓。（1分）</w:t>
      </w:r>
    </w:p>
    <w:p w14:paraId="5F8912FF">
      <w:pPr>
        <w:rPr>
          <w:rFonts w:hint="default" w:ascii="宋体" w:hAnsi="宋体"/>
          <w:b w:val="0"/>
          <w:bCs/>
          <w:sz w:val="21"/>
          <w:szCs w:val="21"/>
          <w:lang w:val="en-US" w:eastAsia="zh-CN"/>
        </w:rPr>
      </w:pPr>
      <w:r>
        <w:rPr>
          <w:rFonts w:hint="default" w:ascii="宋体" w:hAnsi="宋体"/>
          <w:b w:val="0"/>
          <w:bCs/>
          <w:sz w:val="21"/>
          <w:szCs w:val="21"/>
          <w:lang w:val="en-US" w:eastAsia="zh-CN"/>
        </w:rPr>
        <w:t>“快速发展”原因：圈地运动和农业变革，农村人口减少；（1分）工业革命开展，形成了众多新兴城市，城市人口增加；（1分）近代自治市制度的确立（三次议会改革），推动了工业城市的发展；（1分）城市基础设施发展，城市居住条件改善。（2分）</w:t>
      </w:r>
    </w:p>
    <w:p w14:paraId="7512D15F">
      <w:pPr>
        <w:rPr>
          <w:rFonts w:hint="default" w:ascii="宋体" w:hAnsi="宋体"/>
          <w:b w:val="0"/>
          <w:bCs/>
          <w:sz w:val="21"/>
          <w:szCs w:val="21"/>
          <w:lang w:val="en-US" w:eastAsia="zh-CN"/>
        </w:rPr>
      </w:pPr>
      <w:r>
        <w:rPr>
          <w:rFonts w:hint="default" w:ascii="宋体" w:hAnsi="宋体"/>
          <w:b w:val="0"/>
          <w:bCs/>
          <w:sz w:val="21"/>
          <w:szCs w:val="21"/>
          <w:lang w:val="en-US" w:eastAsia="zh-CN"/>
        </w:rPr>
        <w:t>“略有下降”原因：1929-1933年资本主义经济危机的冲击；（1分）第二次世界大战的影响；（1分）全球经济重心向美国转移，英国经济地位相对下降；（1分）交通拥堵、犯罪增长、污染严重等社会问题增多；（2分）工业结构改变冲击了传统工业，一些工业城市衰退。（1分）</w:t>
      </w:r>
    </w:p>
    <w:p w14:paraId="1F8EEFF6">
      <w:pPr>
        <w:rPr>
          <w:rFonts w:hint="default" w:ascii="宋体" w:hAnsi="宋体"/>
          <w:b w:val="0"/>
          <w:bCs/>
          <w:sz w:val="21"/>
          <w:szCs w:val="21"/>
          <w:lang w:val="en-US" w:eastAsia="zh-CN"/>
        </w:rPr>
      </w:pPr>
    </w:p>
    <w:p w14:paraId="48CFC700">
      <w:pPr>
        <w:spacing w:line="288" w:lineRule="auto"/>
        <w:rPr>
          <w:rFonts w:hint="eastAsia" w:ascii="宋体" w:hAnsi="宋体"/>
        </w:rPr>
      </w:pPr>
    </w:p>
    <w:p w14:paraId="2306925E">
      <w:pPr>
        <w:spacing w:line="288" w:lineRule="auto"/>
        <w:rPr>
          <w:rFonts w:hint="eastAsia" w:ascii="宋体" w:hAnsi="宋体"/>
        </w:rPr>
      </w:pPr>
    </w:p>
    <w:p w14:paraId="435F96B6">
      <w:pPr>
        <w:spacing w:line="288" w:lineRule="auto"/>
        <w:rPr>
          <w:rFonts w:hint="eastAsia" w:ascii="宋体" w:hAnsi="宋体"/>
        </w:rPr>
      </w:pPr>
    </w:p>
    <w:p w14:paraId="14ADFDA8">
      <w:pPr>
        <w:spacing w:line="288" w:lineRule="auto"/>
        <w:rPr>
          <w:rFonts w:hint="eastAsia" w:ascii="宋体" w:hAnsi="宋体"/>
        </w:rPr>
      </w:pPr>
    </w:p>
    <w:sectPr>
      <w:headerReference w:type="default" r:id="rId3"/>
      <w:footerReference w:type="default" r:id="rId4"/>
      <w:pgSz w:w="11906" w:h="16838"/>
      <w:pgMar w:top="907" w:right="1077" w:bottom="1440"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UyODE1MjcyM2ZlZTk3MzUyNzcyYjRkMGYzZWZjODgifQ=="/>
  </w:docVars>
  <w:rsids>
    <w:rsidRoot w:val="00A07DF2"/>
    <w:rsid w:val="00002DA3"/>
    <w:rsid w:val="00005EBC"/>
    <w:rsid w:val="00006D22"/>
    <w:rsid w:val="00016BF9"/>
    <w:rsid w:val="00031593"/>
    <w:rsid w:val="000450DE"/>
    <w:rsid w:val="000460FF"/>
    <w:rsid w:val="00051575"/>
    <w:rsid w:val="00054E7B"/>
    <w:rsid w:val="000C2D5E"/>
    <w:rsid w:val="000D11D6"/>
    <w:rsid w:val="000E4D02"/>
    <w:rsid w:val="000E4FF1"/>
    <w:rsid w:val="001177F3"/>
    <w:rsid w:val="00151316"/>
    <w:rsid w:val="0016238F"/>
    <w:rsid w:val="00171458"/>
    <w:rsid w:val="00173C1D"/>
    <w:rsid w:val="001764C3"/>
    <w:rsid w:val="0018010E"/>
    <w:rsid w:val="00180712"/>
    <w:rsid w:val="00182EBF"/>
    <w:rsid w:val="00191C29"/>
    <w:rsid w:val="001A2635"/>
    <w:rsid w:val="001C63DA"/>
    <w:rsid w:val="001D0C6F"/>
    <w:rsid w:val="001E26DD"/>
    <w:rsid w:val="001E2CAE"/>
    <w:rsid w:val="001E7E49"/>
    <w:rsid w:val="00201A7E"/>
    <w:rsid w:val="00204526"/>
    <w:rsid w:val="00221FC9"/>
    <w:rsid w:val="002323D2"/>
    <w:rsid w:val="00242ADA"/>
    <w:rsid w:val="00244CEF"/>
    <w:rsid w:val="002457C2"/>
    <w:rsid w:val="00245E4D"/>
    <w:rsid w:val="0026060E"/>
    <w:rsid w:val="002908F0"/>
    <w:rsid w:val="0029147C"/>
    <w:rsid w:val="00294908"/>
    <w:rsid w:val="002978C7"/>
    <w:rsid w:val="002A0E5D"/>
    <w:rsid w:val="002A1A21"/>
    <w:rsid w:val="002C6333"/>
    <w:rsid w:val="002F06B2"/>
    <w:rsid w:val="003102DB"/>
    <w:rsid w:val="00331E49"/>
    <w:rsid w:val="00356972"/>
    <w:rsid w:val="003571E7"/>
    <w:rsid w:val="003625C4"/>
    <w:rsid w:val="00373D0A"/>
    <w:rsid w:val="0038051B"/>
    <w:rsid w:val="003B1712"/>
    <w:rsid w:val="003C4A95"/>
    <w:rsid w:val="003D0C09"/>
    <w:rsid w:val="004062F6"/>
    <w:rsid w:val="004151FC"/>
    <w:rsid w:val="00430A44"/>
    <w:rsid w:val="00435F83"/>
    <w:rsid w:val="00444A46"/>
    <w:rsid w:val="0045165B"/>
    <w:rsid w:val="00452015"/>
    <w:rsid w:val="0046214C"/>
    <w:rsid w:val="0049183B"/>
    <w:rsid w:val="004A5A35"/>
    <w:rsid w:val="004B44B5"/>
    <w:rsid w:val="004D0367"/>
    <w:rsid w:val="004D44FD"/>
    <w:rsid w:val="0050764D"/>
    <w:rsid w:val="0050779E"/>
    <w:rsid w:val="005326E7"/>
    <w:rsid w:val="00587F8C"/>
    <w:rsid w:val="0059145F"/>
    <w:rsid w:val="00596076"/>
    <w:rsid w:val="005965FE"/>
    <w:rsid w:val="005B39DB"/>
    <w:rsid w:val="005C2124"/>
    <w:rsid w:val="005D1774"/>
    <w:rsid w:val="005D55F0"/>
    <w:rsid w:val="005F1362"/>
    <w:rsid w:val="00605626"/>
    <w:rsid w:val="006071D5"/>
    <w:rsid w:val="0062039B"/>
    <w:rsid w:val="00623C16"/>
    <w:rsid w:val="00637D3A"/>
    <w:rsid w:val="00640BF5"/>
    <w:rsid w:val="00643C5A"/>
    <w:rsid w:val="00666879"/>
    <w:rsid w:val="006B41FD"/>
    <w:rsid w:val="006D5DE9"/>
    <w:rsid w:val="006F45E0"/>
    <w:rsid w:val="00701D6B"/>
    <w:rsid w:val="007061B2"/>
    <w:rsid w:val="00716D85"/>
    <w:rsid w:val="00720D56"/>
    <w:rsid w:val="00740A09"/>
    <w:rsid w:val="00761503"/>
    <w:rsid w:val="00762E26"/>
    <w:rsid w:val="007706D9"/>
    <w:rsid w:val="00793B58"/>
    <w:rsid w:val="007C31B0"/>
    <w:rsid w:val="007E7EE6"/>
    <w:rsid w:val="007F29FB"/>
    <w:rsid w:val="008028B5"/>
    <w:rsid w:val="00832EC9"/>
    <w:rsid w:val="00833227"/>
    <w:rsid w:val="008634CD"/>
    <w:rsid w:val="008731FA"/>
    <w:rsid w:val="00880A38"/>
    <w:rsid w:val="00893DD6"/>
    <w:rsid w:val="008976F6"/>
    <w:rsid w:val="008B7B2E"/>
    <w:rsid w:val="008D1B79"/>
    <w:rsid w:val="008D2E94"/>
    <w:rsid w:val="008E1A42"/>
    <w:rsid w:val="008E5A9E"/>
    <w:rsid w:val="008E6DD5"/>
    <w:rsid w:val="009054AC"/>
    <w:rsid w:val="009121D7"/>
    <w:rsid w:val="00912373"/>
    <w:rsid w:val="00920EEF"/>
    <w:rsid w:val="00935B0B"/>
    <w:rsid w:val="009403B3"/>
    <w:rsid w:val="00974E0F"/>
    <w:rsid w:val="009759DD"/>
    <w:rsid w:val="00982128"/>
    <w:rsid w:val="009A27BF"/>
    <w:rsid w:val="009A3FE1"/>
    <w:rsid w:val="009B5666"/>
    <w:rsid w:val="009C2DBA"/>
    <w:rsid w:val="009C4252"/>
    <w:rsid w:val="00A07DF2"/>
    <w:rsid w:val="00A247E2"/>
    <w:rsid w:val="00A405DB"/>
    <w:rsid w:val="00A469E1"/>
    <w:rsid w:val="00A46D54"/>
    <w:rsid w:val="00A536B0"/>
    <w:rsid w:val="00A77F28"/>
    <w:rsid w:val="00A82CC8"/>
    <w:rsid w:val="00AA39FB"/>
    <w:rsid w:val="00AB3EE3"/>
    <w:rsid w:val="00AD4827"/>
    <w:rsid w:val="00AD6B6A"/>
    <w:rsid w:val="00AF6E27"/>
    <w:rsid w:val="00B35BD7"/>
    <w:rsid w:val="00B73811"/>
    <w:rsid w:val="00B80D67"/>
    <w:rsid w:val="00B8100F"/>
    <w:rsid w:val="00B96924"/>
    <w:rsid w:val="00B974F4"/>
    <w:rsid w:val="00BB50C6"/>
    <w:rsid w:val="00BC4D23"/>
    <w:rsid w:val="00BC6F40"/>
    <w:rsid w:val="00BD12B1"/>
    <w:rsid w:val="00BD49EC"/>
    <w:rsid w:val="00BE761A"/>
    <w:rsid w:val="00BF17E7"/>
    <w:rsid w:val="00C02815"/>
    <w:rsid w:val="00C02FC6"/>
    <w:rsid w:val="00C13493"/>
    <w:rsid w:val="00C321EB"/>
    <w:rsid w:val="00CA4A07"/>
    <w:rsid w:val="00CE7C9A"/>
    <w:rsid w:val="00CF00E5"/>
    <w:rsid w:val="00D04CB0"/>
    <w:rsid w:val="00D06AD4"/>
    <w:rsid w:val="00D50292"/>
    <w:rsid w:val="00D51257"/>
    <w:rsid w:val="00D57592"/>
    <w:rsid w:val="00D634C2"/>
    <w:rsid w:val="00D7004D"/>
    <w:rsid w:val="00D756B6"/>
    <w:rsid w:val="00D77F6E"/>
    <w:rsid w:val="00D80AC4"/>
    <w:rsid w:val="00DA0796"/>
    <w:rsid w:val="00DA5448"/>
    <w:rsid w:val="00DB2CDE"/>
    <w:rsid w:val="00DB6888"/>
    <w:rsid w:val="00DC061C"/>
    <w:rsid w:val="00DF071B"/>
    <w:rsid w:val="00DF3E93"/>
    <w:rsid w:val="00E01D7C"/>
    <w:rsid w:val="00E22C2C"/>
    <w:rsid w:val="00E24676"/>
    <w:rsid w:val="00E25CF7"/>
    <w:rsid w:val="00E540EB"/>
    <w:rsid w:val="00E63075"/>
    <w:rsid w:val="00E97096"/>
    <w:rsid w:val="00EA0188"/>
    <w:rsid w:val="00EA16A2"/>
    <w:rsid w:val="00EA3385"/>
    <w:rsid w:val="00EB17B4"/>
    <w:rsid w:val="00ED1550"/>
    <w:rsid w:val="00ED4F9A"/>
    <w:rsid w:val="00EE1A37"/>
    <w:rsid w:val="00EE6A0D"/>
    <w:rsid w:val="00EE7A83"/>
    <w:rsid w:val="00F207E1"/>
    <w:rsid w:val="00F21C80"/>
    <w:rsid w:val="00F23AB1"/>
    <w:rsid w:val="00F24894"/>
    <w:rsid w:val="00F2614D"/>
    <w:rsid w:val="00F34012"/>
    <w:rsid w:val="00F676FD"/>
    <w:rsid w:val="00F72514"/>
    <w:rsid w:val="00FA0944"/>
    <w:rsid w:val="00FA6947"/>
    <w:rsid w:val="00FB2AF7"/>
    <w:rsid w:val="00FB34D2"/>
    <w:rsid w:val="00FB4B17"/>
    <w:rsid w:val="00FC5860"/>
    <w:rsid w:val="00FD377B"/>
    <w:rsid w:val="00FE4E6B"/>
    <w:rsid w:val="00FF2D79"/>
    <w:rsid w:val="00FF517A"/>
    <w:rsid w:val="0A4F76B2"/>
    <w:rsid w:val="14E05164"/>
    <w:rsid w:val="38274566"/>
    <w:rsid w:val="4FEB32EB"/>
    <w:rsid w:val="561421DE"/>
    <w:rsid w:val="565C2507"/>
    <w:rsid w:val="64FA07E9"/>
    <w:rsid w:val="6C384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&#65279;<?xml version="1.0" encoding="utf-8"?><Relationships xmlns="http://schemas.openxmlformats.org/package/2006/relationships"><Relationship Type="http://schemas.openxmlformats.org/officeDocument/2006/relationships/image" Target="media/image5.png" Id="rId9" /><Relationship Type="http://schemas.openxmlformats.org/officeDocument/2006/relationships/image" Target="media/image4.png" Id="rId8" /><Relationship Type="http://schemas.openxmlformats.org/officeDocument/2006/relationships/image" Target="media/image3.png" Id="rId7" /><Relationship Type="http://schemas.openxmlformats.org/officeDocument/2006/relationships/theme" Target="theme/theme1.xml" Id="rId5" /><Relationship Type="http://schemas.openxmlformats.org/officeDocument/2006/relationships/footer" Target="footer1.xml" Id="rId4" /><Relationship Type="http://schemas.openxmlformats.org/officeDocument/2006/relationships/header" Target="header1.xml" Id="rId3" /><Relationship Type="http://schemas.openxmlformats.org/officeDocument/2006/relationships/settings" Target="settings.xml" Id="rId2" /><Relationship Type="http://schemas.openxmlformats.org/officeDocument/2006/relationships/fontTable" Target="fontTable.xml" Id="rId14" /><Relationship Type="http://schemas.openxmlformats.org/officeDocument/2006/relationships/customXml" Target="../customXml/item2.xml" Id="rId13" /><Relationship Type="http://schemas.openxmlformats.org/officeDocument/2006/relationships/customXml" Target="../customXml/item1.xml" Id="rId12" /><Relationship Type="http://schemas.openxmlformats.org/officeDocument/2006/relationships/image" Target="media/image7.png" Id="rId11" /><Relationship Type="http://schemas.openxmlformats.org/officeDocument/2006/relationships/image" Target="media/image6.png" Id="rId10" /><Relationship Type="http://schemas.openxmlformats.org/officeDocument/2006/relationships/styles" Target="styles.xml" Id="rId1"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CF9C6A-D860-43E2-A110-5FC94157F98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3880</Words>
  <Characters>4108</Characters>
  <DocSecurity>0</DocSecurity>
  <Lines>32</Lines>
  <Paragraphs>9</Paragraphs>
  <ScaleCrop>false</ScaleCrop>
  <LinksUpToDate>false</LinksUpToDate>
  <CharactersWithSpaces>4468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2024-11-15T00:48:00Z</dcterms:created>
  <dcterms:modified xsi:type="dcterms:W3CDTF">2024-11-17T21:35:59Z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6" name="KSOProductBuildVer">
    <vt:lpwstr>2052-12.1.0.18608</vt:lpwstr>
  </op:property>
  <op:property fmtid="{D5CDD505-2E9C-101B-9397-08002B2CF9AE}" pid="7" name="ICV">
    <vt:lpwstr>AC5AB501B535481797B2C2844E2B3802_12</vt:lpwstr>
  </op:property>
</op:Properties>
</file>