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黑体" w:hAnsi="黑体" w:eastAsia="黑体" w:cs="黑体"/>
          <w:b/>
          <w:sz w:val="32"/>
          <w:szCs w:val="32"/>
        </w:rPr>
      </w:pPr>
      <w:r>
        <w:rPr>
          <w:rFonts w:hint="eastAsia" w:ascii="黑体" w:hAnsi="黑体" w:eastAsia="黑体" w:cs="黑体"/>
          <w:b/>
          <w:sz w:val="32"/>
          <w:szCs w:val="32"/>
        </w:rPr>
        <w:t>统编版中外历史纲要上第一单元</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黑体" w:hAnsi="黑体" w:eastAsia="黑体" w:cs="黑体"/>
          <w:sz w:val="32"/>
          <w:szCs w:val="32"/>
        </w:rPr>
      </w:pPr>
      <w:r>
        <w:rPr>
          <w:rFonts w:hint="eastAsia" w:ascii="黑体" w:hAnsi="黑体" w:eastAsia="黑体" w:cs="黑体"/>
          <w:b/>
          <w:sz w:val="32"/>
          <w:szCs w:val="32"/>
        </w:rPr>
        <w:t>《从中华文明起源到秦汉统一多民族封建国家建立与巩固》单元练习</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0" w:name="topic 00955e94-560c-418d-a0df-beb08e2dc6"/>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rPr>
        <w:t>商朝是我国奴隶制社会经济发展的时期，下列描述正确的是</w:t>
      </w:r>
      <w:bookmarkEnd w:id="0"/>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青铜农具已广泛用于农业和手工业生产</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B. 井田制是土地经营的基本方式</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商朝青铜器多是礼器，缺少艺术价值</w:t>
      </w:r>
      <w:bookmarkStart w:id="17" w:name="_GoBack"/>
      <w:bookmarkEnd w:id="17"/>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D. 冶铁业是手工业生产中的主要部门</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1" w:name="topic 40da4083-3ae0-46af-94c3-4d443071bd"/>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rPr>
        <w:t>西周分封制下，周天子与诸侯国君将包括土地及人口的采邑赐给卿、大夫作为世禄。西周中期以后，贵族所获采邑越来越多，到春秋时期，有的诸侯国一个大夫的采邑就多达数十个。这说明（</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w:t>
      </w:r>
      <w:bookmarkEnd w:id="1"/>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土地国有制度废除</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分封体制不断强化</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诸侯国君权力巩固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社会生产持续发展</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2" w:name="topic 388a2ba5-4f86-4c88-91f4-601c236054"/>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rPr>
        <w:t>周人分封的子弟，通常率领姬姓军队、殷商遗民等居住在封国城市内，称之为“国人”。封地内的一些土著族群住在城外或自己的城市内，其上层与国人互通婚姻。还有一些不在这一体制内的土著，因居住在郊野，称之为“野人”。这一现象（   ）</w:t>
      </w:r>
      <w:bookmarkEnd w:id="2"/>
    </w:p>
    <w:p>
      <w:pPr>
        <w:keepLines w:val="0"/>
        <w:pageBreakBefore w:val="0"/>
        <w:widowControl/>
        <w:numPr>
          <w:ilvl w:val="0"/>
          <w:numId w:val="0"/>
        </w:numPr>
        <w:tabs>
          <w:tab w:val="left" w:pos="2310"/>
          <w:tab w:val="left" w:pos="4200"/>
          <w:tab w:val="left" w:pos="609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不利于文化交流</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巩固了贵族统治</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C. 减弱了血缘基础</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kern w:val="0"/>
          <w:sz w:val="24"/>
          <w:szCs w:val="24"/>
        </w:rPr>
        <w:t>D. 加强了中央集权</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rPr>
        <w:t>大汶口文化的早期墓葬中并无葬具，而中、晚期墓葬发生了变化。大墓不但规模大，且常有木椁葬具，随葬品丰富精美，如有洁净的白陶、乌黑而略带光泽的黑陶和优雅的彩陶，还有玉器、石器、象牙器、骨器等。小墓墓坑窄小，有的仅随葬1件陶鼎。由此说明大汶口文化中、晚期（</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①创建了国家的雏形     </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②出现贫富分化</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③生产力水平提高       ④产生了私有制</w:t>
      </w:r>
    </w:p>
    <w:p>
      <w:pPr>
        <w:keepLines w:val="0"/>
        <w:pageBreakBefore w:val="0"/>
        <w:widowControl/>
        <w:numPr>
          <w:ilvl w:val="0"/>
          <w:numId w:val="0"/>
        </w:numPr>
        <w:tabs>
          <w:tab w:val="left" w:pos="2310"/>
          <w:tab w:val="left" w:pos="4200"/>
          <w:tab w:val="left" w:pos="609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 ①②</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B. ②③</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C. ①②③</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D. ②③④</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kern w:val="0"/>
          <w:sz w:val="24"/>
          <w:szCs w:val="24"/>
        </w:rPr>
      </w:pPr>
      <w:bookmarkStart w:id="3" w:name="topic cd2c6bb2-b85c-4fa7-aa9a-365cf998ec"/>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徐扬杰先生认为：“殷周王室、各诸侯国和各卿大夫邑，既是国家的一级行政机构，又是大大小小的家族；殷王、周王、诸侯、卿大夫和各级贵族，既是各级政权的首领，又是各个家族的族长。”其意在说明中国商周时期政治制度（</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w:t>
      </w:r>
      <w:bookmarkEnd w:id="3"/>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 实现了国家权力的合理分配</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B. 体现了极其森严的社会等级</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 具有家国同构的社会特征</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D. 实现了中央权力的高度集中</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kern w:val="0"/>
          <w:sz w:val="24"/>
          <w:szCs w:val="24"/>
        </w:rPr>
      </w:pPr>
      <w:bookmarkStart w:id="4" w:name="topic 8d47558b-f71c-418c-a537-b9f5793191"/>
      <w:r>
        <w:rPr>
          <w:rFonts w:hint="eastAsia" w:asciiTheme="minorEastAsia" w:hAnsiTheme="minorEastAsia" w:eastAsiaTheme="minorEastAsia" w:cstheme="minorEastAsia"/>
          <w:kern w:val="0"/>
          <w:sz w:val="24"/>
          <w:szCs w:val="24"/>
          <w:lang w:val="en-US" w:eastAsia="zh-CN"/>
        </w:rPr>
        <w:t>6、</w:t>
      </w:r>
      <w:r>
        <w:rPr>
          <w:rFonts w:hint="eastAsia" w:asciiTheme="minorEastAsia" w:hAnsiTheme="minorEastAsia" w:eastAsiaTheme="minorEastAsia" w:cstheme="minorEastAsia"/>
          <w:kern w:val="0"/>
          <w:sz w:val="24"/>
          <w:szCs w:val="24"/>
        </w:rPr>
        <w:t>战国时期某思想家指出：“隆礼尊贤而王，重法爱民而霸”“以善至者，待之以礼；以不善至者，待之以刑”。这说明当时我国思想领域</w:t>
      </w:r>
      <w:bookmarkEnd w:id="4"/>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tabs>
          <w:tab w:val="left" w:pos="2310"/>
          <w:tab w:val="left" w:pos="4200"/>
          <w:tab w:val="left" w:pos="609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 推崇重贤爱民</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B. 政策开明宽容</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C. 出现融合倾向</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D. 争霸意识浓烈</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7、</w:t>
      </w:r>
      <w:r>
        <w:rPr>
          <w:rFonts w:hint="eastAsia" w:asciiTheme="minorEastAsia" w:hAnsiTheme="minorEastAsia" w:eastAsiaTheme="minorEastAsia" w:cstheme="minorEastAsia"/>
          <w:kern w:val="0"/>
          <w:sz w:val="24"/>
          <w:szCs w:val="24"/>
        </w:rPr>
        <w:t>下边是《中国历代经典宝库》丛书的部分书目,其中1、3、5对应的著作是(</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 xml:space="preserve"> )</w:t>
      </w:r>
    </w:p>
    <w:tbl>
      <w:tblPr>
        <w:tblStyle w:val="5"/>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0" w:type="dxa"/>
          <w:left w:w="0" w:type="dxa"/>
          <w:bottom w:w="0" w:type="dxa"/>
          <w:right w:w="0" w:type="dxa"/>
        </w:tblCellMar>
      </w:tblPr>
      <w:tblGrid>
        <w:gridCol w:w="366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trHeight w:val="1740" w:hRule="atLeast"/>
        </w:trPr>
        <w:tc>
          <w:tcPr>
            <w:tcW w:w="3665" w:type="dxa"/>
            <w:tcBorders>
              <w:top w:val="single" w:color="000000" w:sz="4" w:space="0"/>
              <w:left w:val="single" w:color="000000" w:sz="4" w:space="0"/>
              <w:bottom w:val="single" w:color="000000" w:sz="4" w:space="0"/>
              <w:right w:val="single" w:color="000000" w:sz="4" w:space="0"/>
            </w:tcBorders>
            <w:noWrap w:val="0"/>
            <w:tcMar>
              <w:top w:w="5" w:type="dxa"/>
              <w:left w:w="5" w:type="dxa"/>
              <w:bottom w:w="5" w:type="dxa"/>
              <w:right w:w="5" w:type="dxa"/>
            </w:tcMar>
            <w:vAlign w:val="center"/>
          </w:tcPr>
          <w:p>
            <w:pPr>
              <w:keepNext/>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b w:val="0"/>
                <w:bCs w:val="0"/>
                <w:i w:val="0"/>
                <w:iCs w:val="0"/>
                <w:smallCaps w:val="0"/>
                <w:color w:val="000000"/>
                <w:kern w:val="0"/>
                <w:sz w:val="24"/>
                <w:szCs w:val="24"/>
              </w:rPr>
            </w:pPr>
            <w:r>
              <w:rPr>
                <w:rFonts w:hint="eastAsia" w:asciiTheme="minorEastAsia" w:hAnsiTheme="minorEastAsia" w:eastAsiaTheme="minorEastAsia" w:cstheme="minorEastAsia"/>
                <w:b w:val="0"/>
                <w:bCs w:val="0"/>
                <w:i w:val="0"/>
                <w:iCs w:val="0"/>
                <w:smallCaps w:val="0"/>
                <w:color w:val="000000"/>
                <w:kern w:val="0"/>
                <w:sz w:val="24"/>
                <w:szCs w:val="24"/>
              </w:rPr>
              <w:t>1 . 中国人的圣书———</w:t>
            </w:r>
          </w:p>
          <w:p>
            <w:pPr>
              <w:keepNext/>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b w:val="0"/>
                <w:bCs w:val="0"/>
                <w:i w:val="0"/>
                <w:iCs w:val="0"/>
                <w:smallCaps w:val="0"/>
                <w:color w:val="000000"/>
                <w:kern w:val="0"/>
                <w:sz w:val="24"/>
                <w:szCs w:val="24"/>
              </w:rPr>
            </w:pPr>
            <w:r>
              <w:rPr>
                <w:rFonts w:hint="eastAsia" w:asciiTheme="minorEastAsia" w:hAnsiTheme="minorEastAsia" w:eastAsiaTheme="minorEastAsia" w:cstheme="minorEastAsia"/>
                <w:b w:val="0"/>
                <w:bCs w:val="0"/>
                <w:i w:val="0"/>
                <w:iCs w:val="0"/>
                <w:smallCaps w:val="0"/>
                <w:color w:val="000000"/>
                <w:kern w:val="0"/>
                <w:sz w:val="24"/>
                <w:szCs w:val="24"/>
              </w:rPr>
              <w:t>2 . 哲学的天籁———《庄子》</w:t>
            </w:r>
          </w:p>
          <w:p>
            <w:pPr>
              <w:keepNext/>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b w:val="0"/>
                <w:bCs w:val="0"/>
                <w:i w:val="0"/>
                <w:iCs w:val="0"/>
                <w:smallCaps w:val="0"/>
                <w:color w:val="000000"/>
                <w:kern w:val="0"/>
                <w:sz w:val="24"/>
                <w:szCs w:val="24"/>
              </w:rPr>
            </w:pPr>
            <w:r>
              <w:rPr>
                <w:rFonts w:hint="eastAsia" w:asciiTheme="minorEastAsia" w:hAnsiTheme="minorEastAsia" w:eastAsiaTheme="minorEastAsia" w:cstheme="minorEastAsia"/>
                <w:b w:val="0"/>
                <w:bCs w:val="0"/>
                <w:i w:val="0"/>
                <w:iCs w:val="0"/>
                <w:smallCaps w:val="0"/>
                <w:color w:val="000000"/>
                <w:kern w:val="0"/>
                <w:sz w:val="24"/>
                <w:szCs w:val="24"/>
              </w:rPr>
              <w:t>3 . 救世的苦行者———</w:t>
            </w:r>
          </w:p>
          <w:p>
            <w:pPr>
              <w:keepNext/>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b w:val="0"/>
                <w:bCs w:val="0"/>
                <w:i w:val="0"/>
                <w:iCs w:val="0"/>
                <w:smallCaps w:val="0"/>
                <w:color w:val="000000"/>
                <w:kern w:val="0"/>
                <w:sz w:val="24"/>
                <w:szCs w:val="24"/>
              </w:rPr>
            </w:pPr>
            <w:r>
              <w:rPr>
                <w:rFonts w:hint="eastAsia" w:asciiTheme="minorEastAsia" w:hAnsiTheme="minorEastAsia" w:eastAsiaTheme="minorEastAsia" w:cstheme="minorEastAsia"/>
                <w:b w:val="0"/>
                <w:bCs w:val="0"/>
                <w:i w:val="0"/>
                <w:iCs w:val="0"/>
                <w:smallCaps w:val="0"/>
                <w:color w:val="000000"/>
                <w:kern w:val="0"/>
                <w:sz w:val="24"/>
                <w:szCs w:val="24"/>
              </w:rPr>
              <w:t>4 . 人性的批判———《荀子》</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b w:val="0"/>
                <w:bCs w:val="0"/>
                <w:i w:val="0"/>
                <w:iCs w:val="0"/>
                <w:smallCaps w:val="0"/>
                <w:color w:val="000000"/>
                <w:kern w:val="0"/>
                <w:sz w:val="24"/>
                <w:szCs w:val="24"/>
              </w:rPr>
            </w:pPr>
            <w:r>
              <w:rPr>
                <w:rFonts w:hint="eastAsia" w:asciiTheme="minorEastAsia" w:hAnsiTheme="minorEastAsia" w:eastAsiaTheme="minorEastAsia" w:cstheme="minorEastAsia"/>
                <w:b w:val="0"/>
                <w:bCs w:val="0"/>
                <w:i w:val="0"/>
                <w:iCs w:val="0"/>
                <w:smallCaps w:val="0"/>
                <w:color w:val="000000"/>
                <w:kern w:val="0"/>
                <w:sz w:val="24"/>
                <w:szCs w:val="24"/>
              </w:rPr>
              <w:t>5 . 国家的秩序———</w:t>
            </w:r>
          </w:p>
        </w:tc>
      </w:tr>
    </w:tbl>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《论语》《老子》《韩非子》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《论语》《墨子》《韩非子》</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《孟子》《韩非子》《墨子》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《墨子》《论语》《韩非子》</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5" w:name="topic 4a5bbcee-31fe-4a93-97b4-c381965477"/>
      <w:r>
        <w:rPr>
          <w:rFonts w:hint="eastAsia" w:asciiTheme="minorEastAsia" w:hAnsiTheme="minorEastAsia" w:eastAsiaTheme="minorEastAsia" w:cstheme="minorEastAsia"/>
          <w:kern w:val="0"/>
          <w:sz w:val="24"/>
          <w:szCs w:val="24"/>
          <w:lang w:val="en-US" w:eastAsia="zh-CN"/>
        </w:rPr>
        <w:t>8、</w:t>
      </w:r>
      <w:r>
        <w:rPr>
          <w:rFonts w:hint="eastAsia" w:asciiTheme="minorEastAsia" w:hAnsiTheme="minorEastAsia" w:eastAsiaTheme="minorEastAsia" w:cstheme="minorEastAsia"/>
          <w:kern w:val="0"/>
          <w:sz w:val="24"/>
          <w:szCs w:val="24"/>
        </w:rPr>
        <w:t>春秋战国时期，面对当时出现的私有观念，儒、墨、法家诸子既肯定“私利”的合理性，又充分颂扬“公有”。这表明儒、墨、法家诸子</w:t>
      </w:r>
      <w:bookmarkEnd w:id="5"/>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充分肯定夏商周三代</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认可“天下为公”的社会</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都主张重建社会秩序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全面否定了私有观念</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lang w:eastAsia="zh-CN"/>
        </w:rPr>
      </w:pPr>
      <w:bookmarkStart w:id="6" w:name="topic ee0830b1-d3d5-4a84-a839-6f86b4793a"/>
      <w:r>
        <w:rPr>
          <w:rFonts w:hint="eastAsia" w:asciiTheme="minorEastAsia" w:hAnsiTheme="minorEastAsia" w:eastAsiaTheme="minorEastAsia" w:cstheme="minorEastAsia"/>
          <w:kern w:val="0"/>
          <w:sz w:val="24"/>
          <w:szCs w:val="24"/>
          <w:lang w:val="en-US" w:eastAsia="zh-CN"/>
        </w:rPr>
        <w:t>9、</w:t>
      </w:r>
      <w:r>
        <w:rPr>
          <w:rFonts w:hint="eastAsia" w:asciiTheme="minorEastAsia" w:hAnsiTheme="minorEastAsia" w:eastAsiaTheme="minorEastAsia" w:cstheme="minorEastAsia"/>
          <w:kern w:val="0"/>
          <w:sz w:val="24"/>
          <w:szCs w:val="24"/>
        </w:rPr>
        <w:t>春秋战国时期，许多诸侯国的国君纷纷信奉法家思想，推行变法，如齐、魏、韩。其初衷是</w:t>
      </w:r>
      <w:bookmarkEnd w:id="6"/>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缓和社会矛盾，发展社会生产</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B. 富国强兵，争取兼并战争中的有利地位</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压制其他派别，实现思想统一</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D. 顺应历史潮流，适应社会制度变革要求</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7" w:name="topic 9fa07755-d4ca-4833-ba6d-e90a32a68a"/>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“自从春秋时代王纲解纽，篡弑频仍，兼并盛起，夷狄横行，一般盟主用了‘尊王’‘攘夷’的口号联合诸夏成为一个集团，禁抑篡弑……中国的雏形在那时方才出现。”材料意在说明春秋时期</w:t>
      </w:r>
      <w:bookmarkEnd w:id="7"/>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社会动荡不安</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民族交融不断加强</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郡县制已确立</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蕴含着统一的因素</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8" w:name="topic a5f5d66c-ac6f-47cd-aaee-b992127754"/>
      <w:r>
        <w:rPr>
          <w:rFonts w:hint="eastAsia" w:asciiTheme="minorEastAsia" w:hAnsiTheme="minorEastAsia" w:eastAsiaTheme="minorEastAsia" w:cstheme="minorEastAsia"/>
          <w:kern w:val="0"/>
          <w:sz w:val="24"/>
          <w:szCs w:val="24"/>
          <w:lang w:val="en-US" w:eastAsia="zh-CN"/>
        </w:rPr>
        <w:t>11、</w:t>
      </w:r>
      <w:r>
        <w:rPr>
          <w:rFonts w:hint="eastAsia" w:asciiTheme="minorEastAsia" w:hAnsiTheme="minorEastAsia" w:eastAsiaTheme="minorEastAsia" w:cstheme="minorEastAsia"/>
          <w:kern w:val="0"/>
          <w:sz w:val="24"/>
          <w:szCs w:val="24"/>
        </w:rPr>
        <w:t>“从秦代开始，中央严格控制属郡，并建立起一套从郡到乡、里、什、伍层层控制而又十分严密的地方统治网，由皇帝提、控纲，递次铺向全国各个角落。”这一举措</w:t>
      </w:r>
      <w:bookmarkEnd w:id="8"/>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符合专制主义中央集权的要求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有利于皇帝决策时了解地方民意</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有效缓和了中央与地方的矛盾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杜绝了先秦分权体制在后世出现</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12、</w:t>
      </w:r>
      <w:r>
        <w:rPr>
          <w:rFonts w:hint="eastAsia" w:asciiTheme="minorEastAsia" w:hAnsiTheme="minorEastAsia" w:eastAsiaTheme="minorEastAsia" w:cstheme="minorEastAsia"/>
          <w:kern w:val="0"/>
          <w:sz w:val="24"/>
          <w:szCs w:val="24"/>
        </w:rPr>
        <w:t>在秦始皇加强专制主义中央集权的措施中，既有对中国文化教育影响深远的措施，又有严重摧残文化的措施，这两方面的突出表现分别是（</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①统一文字    ②统一度量衡    ③焚书坑儒    ④严刑峻法</w:t>
      </w:r>
    </w:p>
    <w:p>
      <w:pPr>
        <w:keepLines w:val="0"/>
        <w:pageBreakBefore w:val="0"/>
        <w:widowControl/>
        <w:numPr>
          <w:ilvl w:val="0"/>
          <w:numId w:val="0"/>
        </w:numPr>
        <w:tabs>
          <w:tab w:val="left" w:pos="2310"/>
          <w:tab w:val="left" w:pos="4200"/>
          <w:tab w:val="left" w:pos="609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 ①②</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B. ③④</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C. ①③</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D. ②④</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kern w:val="0"/>
          <w:sz w:val="24"/>
          <w:szCs w:val="24"/>
        </w:rPr>
      </w:pPr>
      <w:bookmarkStart w:id="9" w:name="topic fb9b8333-2363-408e-ad5f-637cc3b384"/>
      <w:r>
        <w:rPr>
          <w:rFonts w:hint="eastAsia" w:asciiTheme="minorEastAsia" w:hAnsiTheme="minorEastAsia" w:eastAsiaTheme="minorEastAsia" w:cstheme="minorEastAsia"/>
          <w:kern w:val="0"/>
          <w:sz w:val="24"/>
          <w:szCs w:val="24"/>
          <w:lang w:val="en-US" w:eastAsia="zh-CN"/>
        </w:rPr>
        <w:t>13、</w:t>
      </w:r>
      <w:r>
        <w:rPr>
          <w:rFonts w:hint="eastAsia" w:asciiTheme="minorEastAsia" w:hAnsiTheme="minorEastAsia" w:eastAsiaTheme="minorEastAsia" w:cstheme="minorEastAsia"/>
          <w:kern w:val="0"/>
          <w:sz w:val="24"/>
          <w:szCs w:val="24"/>
        </w:rPr>
        <w:t>秦朝的《工律》规定，“为器同物者，其小大、短长、广夹（狭）亦必等”，还规定由官府有关机构校正衡器的权、斗桶和升，且至少每年应当校正一次。这些规定</w:t>
      </w:r>
      <w:bookmarkEnd w:id="9"/>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 为秦的统一奠定了基础</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B. 体现对商业活动的重视</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 有利于各地区经济交流</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D. 标志统一国内市场形成</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kern w:val="0"/>
          <w:sz w:val="24"/>
          <w:szCs w:val="24"/>
        </w:rPr>
      </w:pPr>
      <w:bookmarkStart w:id="10" w:name="topic 575a2741-0363-452c-b21b-326a68a3b9"/>
      <w:r>
        <w:rPr>
          <w:rFonts w:hint="eastAsia" w:asciiTheme="minorEastAsia" w:hAnsiTheme="minorEastAsia" w:eastAsiaTheme="minorEastAsia" w:cstheme="minorEastAsia"/>
          <w:kern w:val="0"/>
          <w:sz w:val="24"/>
          <w:szCs w:val="24"/>
          <w:lang w:val="en-US" w:eastAsia="zh-CN"/>
        </w:rPr>
        <w:t>14、</w:t>
      </w:r>
      <w:r>
        <w:rPr>
          <w:rFonts w:hint="eastAsia" w:asciiTheme="minorEastAsia" w:hAnsiTheme="minorEastAsia" w:eastAsiaTheme="minorEastAsia" w:cstheme="minorEastAsia"/>
          <w:kern w:val="0"/>
          <w:sz w:val="24"/>
          <w:szCs w:val="24"/>
        </w:rPr>
        <w:t>翦伯赞认为，“秦代的政府不是一开始就准备对于古典文献，不分青红皂白，非秦者烧；他们曾经从六国的宫廷和民间搜集了几乎是全部的古典文献，征聘了七十位老学者，授以博士之官，焚书坑儒并不是秦代政府预定的计划之执行，而是逐渐演进出来的。”材料表明焚书坑儒政策（　　）</w:t>
      </w:r>
      <w:bookmarkEnd w:id="10"/>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 代表了历史发展的主要趋势</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B. 适应秦朝中央集权建设需要</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 破坏了百家争鸣的文化氛围</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D. 表明文化专制主义愈演愈烈</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kern w:val="0"/>
          <w:sz w:val="24"/>
          <w:szCs w:val="24"/>
        </w:rPr>
      </w:pPr>
      <w:bookmarkStart w:id="11" w:name="topic 407bc9a5-bb08-4991-81f8-a176f17431"/>
      <w:r>
        <w:rPr>
          <w:rFonts w:hint="eastAsia" w:asciiTheme="minorEastAsia" w:hAnsiTheme="minorEastAsia" w:eastAsiaTheme="minorEastAsia" w:cstheme="minorEastAsia"/>
          <w:kern w:val="0"/>
          <w:sz w:val="24"/>
          <w:szCs w:val="24"/>
          <w:lang w:val="en-US" w:eastAsia="zh-CN"/>
        </w:rPr>
        <w:t>15、</w:t>
      </w:r>
      <w:r>
        <w:rPr>
          <w:rFonts w:hint="eastAsia" w:asciiTheme="minorEastAsia" w:hAnsiTheme="minorEastAsia" w:eastAsiaTheme="minorEastAsia" w:cstheme="minorEastAsia"/>
          <w:kern w:val="0"/>
          <w:sz w:val="24"/>
          <w:szCs w:val="24"/>
        </w:rPr>
        <w:t>一位西方学者认为，秦始皇建立了绝对的专制制度，这一制度以个人亲信为基础，而不考虑世系和教育。从人类政治文明发展的角度来看，这一政治转向的积极意义主要在于</w:t>
      </w:r>
      <w:bookmarkEnd w:id="11"/>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A. 从血缘政治向官僚政治转变</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B. 从军功政治向文治政治转变</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 从分权政治向专制政治转变</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D. 从地方分权向中央集权转变</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16、</w:t>
      </w:r>
      <w:r>
        <w:rPr>
          <w:rFonts w:hint="eastAsia" w:asciiTheme="minorEastAsia" w:hAnsiTheme="minorEastAsia" w:eastAsiaTheme="minorEastAsia" w:cstheme="minorEastAsia"/>
          <w:kern w:val="0"/>
          <w:sz w:val="24"/>
          <w:szCs w:val="24"/>
        </w:rPr>
        <w:t>某同学整理了关于秦汉时期历史时期演变的时间轴，空格中应填入的内容是</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tbl>
      <w:tblPr>
        <w:tblStyle w:val="15"/>
        <w:tblW w:w="4392" w:type="pct"/>
        <w:tblInd w:w="4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5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Pr>
        <w:tc>
          <w:tcPr>
            <w:tcW w:w="5000" w:type="pct"/>
            <w:noWrap w:val="0"/>
            <w:tcMar>
              <w:top w:w="0" w:type="dxa"/>
              <w:left w:w="0" w:type="dxa"/>
              <w:bottom w:w="0" w:type="dxa"/>
              <w:right w:w="0" w:type="dxa"/>
            </w:tcMar>
            <w:vAlign w:val="center"/>
          </w:tcPr>
          <w:p>
            <w:pPr>
              <w:keepLines w:val="0"/>
              <w:pageBreakBefore w:val="0"/>
              <w:widowControl/>
              <w:kinsoku/>
              <w:wordWrap/>
              <w:overflowPunct/>
              <w:topLinePunct w:val="0"/>
              <w:autoSpaceDE/>
              <w:autoSpaceDN/>
              <w:bidi w:val="0"/>
              <w:adjustRightInd/>
              <w:snapToGrid/>
              <w:spacing w:line="240" w:lineRule="auto"/>
              <w:ind w:left="0" w:firstLine="0"/>
              <w:textAlignment w:val="center"/>
              <w:rPr>
                <w:rFonts w:hint="eastAsia" w:asciiTheme="minorEastAsia" w:hAnsiTheme="minorEastAsia" w:eastAsiaTheme="minorEastAsia" w:cstheme="minorEastAsia"/>
                <w:b w:val="0"/>
                <w:bCs w:val="0"/>
                <w:i w:val="0"/>
                <w:iCs w:val="0"/>
                <w:smallCaps w:val="0"/>
                <w:color w:val="000000"/>
                <w:kern w:val="0"/>
                <w:sz w:val="24"/>
                <w:szCs w:val="24"/>
              </w:rPr>
            </w:pPr>
            <w:r>
              <w:rPr>
                <w:rFonts w:hint="eastAsia" w:asciiTheme="minorEastAsia" w:hAnsiTheme="minorEastAsia" w:eastAsiaTheme="minorEastAsia" w:cstheme="minorEastAsia"/>
                <w:b w:val="0"/>
                <w:bCs w:val="0"/>
                <w:i w:val="0"/>
                <w:iCs w:val="0"/>
                <w:smallCaps w:val="0"/>
                <w:strike w:val="0"/>
                <w:color w:val="000000"/>
                <w:kern w:val="0"/>
                <w:sz w:val="24"/>
                <w:szCs w:val="24"/>
                <w:u w:val="none"/>
              </w:rPr>
              <w:drawing>
                <wp:inline distT="0" distB="0" distL="114300" distR="114300">
                  <wp:extent cx="4495800" cy="1019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495800" cy="1019175"/>
                          </a:xfrm>
                          <a:prstGeom prst="rect">
                            <a:avLst/>
                          </a:prstGeom>
                          <a:noFill/>
                          <a:ln>
                            <a:noFill/>
                          </a:ln>
                        </pic:spPr>
                      </pic:pic>
                    </a:graphicData>
                  </a:graphic>
                </wp:inline>
              </w:drawing>
            </w:r>
          </w:p>
        </w:tc>
      </w:tr>
    </w:tbl>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焚书坑儒，张骞西行</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与民休息，光武中兴</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陈胜起义，独尊儒术</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百家争鸣，党锢之祸</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12" w:name="topic f4edc84f-1ef5-493a-a85f-db83c429c4"/>
      <w:r>
        <w:rPr>
          <w:rFonts w:hint="eastAsia" w:asciiTheme="minorEastAsia" w:hAnsiTheme="minorEastAsia" w:eastAsiaTheme="minorEastAsia" w:cstheme="minorEastAsia"/>
          <w:kern w:val="0"/>
          <w:sz w:val="24"/>
          <w:szCs w:val="24"/>
          <w:lang w:val="en-US" w:eastAsia="zh-CN"/>
        </w:rPr>
        <w:t>17、</w:t>
      </w:r>
      <w:r>
        <w:rPr>
          <w:rFonts w:hint="eastAsia" w:asciiTheme="minorEastAsia" w:hAnsiTheme="minorEastAsia" w:eastAsiaTheme="minorEastAsia" w:cstheme="minorEastAsia"/>
          <w:kern w:val="0"/>
          <w:sz w:val="24"/>
          <w:szCs w:val="24"/>
        </w:rPr>
        <w:t>《史记·平准书》记载汉武帝时期卜式（生卒年不详）因养羊致富，因匈奴屡犯边境，曾上书愿以家财之半捐公助边，又施钱财帮助乡民，卜式也常以巨资购买田宅；《汉书·张禹传》中记载张禹（？—前5年）富贵之后，买田400顷，均是灌溉方便、土质肥沃之地。反映出</w:t>
      </w:r>
      <w:bookmarkEnd w:id="12"/>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豪强地主势力壮大</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西汉政府鼓励土地买卖</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匈奴严重威胁边疆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农耕经济出现繁荣景象</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13" w:name="topic a1c4c6f2-87b0-43af-9d2e-b974cd66a8"/>
      <w:r>
        <w:rPr>
          <w:rFonts w:hint="eastAsia" w:asciiTheme="minorEastAsia" w:hAnsiTheme="minorEastAsia" w:eastAsiaTheme="minorEastAsia" w:cstheme="minorEastAsia"/>
          <w:kern w:val="0"/>
          <w:sz w:val="24"/>
          <w:szCs w:val="24"/>
          <w:lang w:val="en-US" w:eastAsia="zh-CN"/>
        </w:rPr>
        <w:t>18、</w:t>
      </w:r>
      <w:r>
        <w:rPr>
          <w:rFonts w:hint="eastAsia" w:asciiTheme="minorEastAsia" w:hAnsiTheme="minorEastAsia" w:eastAsiaTheme="minorEastAsia" w:cstheme="minorEastAsia"/>
          <w:kern w:val="0"/>
          <w:sz w:val="24"/>
          <w:szCs w:val="24"/>
        </w:rPr>
        <w:t>汉墓竹简《二年律令·关市律》规定“贩卖缯布幅不盈二尺二寸者，没入（官府）之”；又规定“诸诈贻人以有取，及有贩卖贸买而诈贻人，皆坐赃与盗同法”。这表明西汉初年</w:t>
      </w:r>
      <w:bookmarkEnd w:id="13"/>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政府注重维护商业秩序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商业诈骗日益猖獗</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特殊商品由国家经营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商品流通亟待规范</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14" w:name="topic d92572c9-32db-4051-bf80-8b91f3d9c3"/>
      <w:r>
        <w:rPr>
          <w:rFonts w:hint="eastAsia" w:asciiTheme="minorEastAsia" w:hAnsiTheme="minorEastAsia" w:eastAsiaTheme="minorEastAsia" w:cstheme="minorEastAsia"/>
          <w:kern w:val="0"/>
          <w:sz w:val="24"/>
          <w:szCs w:val="24"/>
          <w:lang w:val="en-US" w:eastAsia="zh-CN"/>
        </w:rPr>
        <w:t>19、</w:t>
      </w:r>
      <w:r>
        <w:rPr>
          <w:rFonts w:hint="eastAsia" w:asciiTheme="minorEastAsia" w:hAnsiTheme="minorEastAsia" w:eastAsiaTheme="minorEastAsia" w:cstheme="minorEastAsia"/>
          <w:kern w:val="0"/>
          <w:sz w:val="24"/>
          <w:szCs w:val="24"/>
        </w:rPr>
        <w:t>汉初，丞相有专用功臣列侯及其子弟的传统。汉武帝时，开始起用没有政治背景的一般士人为相，拜相后始封侯；武帝后期，丞相动辄因故免职、下狱。这一变化主要反映了</w:t>
      </w:r>
      <w:bookmarkEnd w:id="14"/>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lang w:eastAsia="zh-CN"/>
        </w:rPr>
        <w:t>）</w:t>
      </w:r>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皇帝集权下政务机关权力弱化</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独尊儒术使儒学地位得到提高</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功臣列侯的势力开始遭到削弱</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中央集权制度得到了有效加强</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bookmarkStart w:id="15" w:name="topic 6ff97c8b-8a25-44e3-94d2-bdf8d18134"/>
      <w:r>
        <w:rPr>
          <w:rFonts w:hint="eastAsia" w:asciiTheme="minorEastAsia" w:hAnsiTheme="minorEastAsia" w:eastAsiaTheme="minorEastAsia" w:cstheme="minorEastAsia"/>
          <w:kern w:val="0"/>
          <w:sz w:val="24"/>
          <w:szCs w:val="24"/>
          <w:lang w:val="en-US" w:eastAsia="zh-CN"/>
        </w:rPr>
        <w:t>20、</w:t>
      </w:r>
      <w:r>
        <w:rPr>
          <w:rFonts w:hint="eastAsia" w:asciiTheme="minorEastAsia" w:hAnsiTheme="minorEastAsia" w:eastAsiaTheme="minorEastAsia" w:cstheme="minorEastAsia"/>
          <w:kern w:val="0"/>
          <w:sz w:val="24"/>
          <w:szCs w:val="24"/>
        </w:rPr>
        <w:t>汉元帝时，宦官弘恭、石显以中书的身份专断国政；哀帝、平帝之世，外戚王氏相继把持中朝，终于酿成新朝（王莽建立）代西汉的结局。这表明（　　）</w:t>
      </w:r>
      <w:bookmarkEnd w:id="15"/>
    </w:p>
    <w:p>
      <w:pPr>
        <w:keepLines w:val="0"/>
        <w:pageBreakBefore w:val="0"/>
        <w:widowControl/>
        <w:numPr>
          <w:ilvl w:val="0"/>
          <w:numId w:val="0"/>
        </w:numPr>
        <w:tabs>
          <w:tab w:val="left" w:pos="4200"/>
        </w:tabs>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A. 中外朝制度使君主专制受到制约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B. 以丞相为首的官僚机构权势弱化</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kern w:val="0"/>
          <w:sz w:val="24"/>
          <w:szCs w:val="24"/>
        </w:rPr>
        <w:t>C. 君权与相权的斗争导致政局动荡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kern w:val="0"/>
          <w:sz w:val="24"/>
          <w:szCs w:val="24"/>
        </w:rPr>
        <w:t>D. 宦官和外戚专权是西汉灭亡根源</w:t>
      </w:r>
    </w:p>
    <w:p>
      <w:pPr>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21、</w:t>
      </w:r>
      <w:r>
        <w:rPr>
          <w:rFonts w:hint="eastAsia" w:asciiTheme="minorEastAsia" w:hAnsiTheme="minorEastAsia" w:eastAsiaTheme="minorEastAsia" w:cstheme="minorEastAsia"/>
          <w:kern w:val="0"/>
          <w:sz w:val="24"/>
          <w:szCs w:val="24"/>
        </w:rPr>
        <w:t>阅读材料，完成下列要求。</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材料一</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战国末年，秦国从一个边陲小国异军突起：建立了大一统王朝，泰国的崛起是制度的胜利。《史记》记载：秦朝统一后，“除道，道九原，抵云阳，山堙谷，直通之”《史记》还记载：“使将军蒙恬发兵三十万人北击胡，河南地”，“发诸尝適亡人、赘婿、贾人略取陆梁地，为桂林、象郡、南十四县”。类似的记载还有很多。但秦朝仅经历“两帝一王”的短短14年就灭亡了。       </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——摘编自陈忠海《从另一个角度看秦朝的统一与速亡》</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材料二</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公元前141年，汉武帝即位。他所面临的形势是“汉兴六十余载，海内艾安，府库充实，而四夷未宾，制度多阙”。他继承了“文景之治”的全部历史遗产，其中，既有社会稳定、人心归向、经济富裕的优势，也有制度有缺、国家控制能力薄弱的遗憾。汉武帝时期的政论家严助，总结汉武帝时代的特点是“是时征伐四夷，开置边郡，军旅数发，内改制度，朝廷多事”。             </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——摘编自孙家洲、王文涛《制度变革与汉武帝盛世的造就》</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（1）根据材料一并结合所学知识，概括秦朝统一的原因，并指出秦朝巩固统一的措施。</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（2）根据材料二并结合所学知识，指出汉武帝造就“盛世”的相关政治制度。</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（3）根据材料一、二并结合所学知识，分析政治体制的基本特点。</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w:t>
      </w: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rPr>
        <w:t>春秋战国是政治、经济、文化大变动的时期，阅读材料，回答问题。</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材料一：春秋时期，王室衰弱，一些实力较为强大的诸侯趁机割据一方，并以武力控制周边的中小诸侯，形成了自己的霸业。诸侯国内部权力下移，以臣弑君的事件也屡见不鲜。战国时期，诸侯纷纷称王，兼并战争愈演愈烈。春秋后期，周王室更加衰落，无力维护“学在官府”的体制，私人讲学兴起。进入战国，各国统治者纷纷招揽人才，一些大贵族还以养士竞争高下。</w:t>
      </w:r>
    </w:p>
    <w:p>
      <w:pPr>
        <w:keepLines w:val="0"/>
        <w:pageBreakBefore w:val="0"/>
        <w:widowControl/>
        <w:kinsoku/>
        <w:wordWrap/>
        <w:overflowPunct/>
        <w:topLinePunct w:val="0"/>
        <w:autoSpaceDE/>
        <w:autoSpaceDN/>
        <w:bidi w:val="0"/>
        <w:adjustRightInd/>
        <w:snapToGrid/>
        <w:spacing w:before="0" w:after="0" w:line="240" w:lineRule="auto"/>
        <w:ind w:left="0" w:firstLine="3600" w:firstLineChars="150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——摘编自蒋重跃《从历史印迹中走来的世界˙中国篇》</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材料二：2006年，北京广安门内大街原北京义利食品公司场址内出土窖藏战国货币两罐，内含包括赵国直刀、燕国明刀、三晋及燕的方足布等战国货币三万余枚，其中绝大部分为方足布币。据报道者称，这批方足布大概有70 余种，发现有所谓“新品种”，如丰子、丰邑、武平类方足布等。广安门内大街附近地区战国时曾是（燕国）蓟丘南古道，也是北京城的起源地……燕国本来是通行刀币的国家，到了战国中晚期，燕国币制中出现了新的货币形态——布币。</w:t>
      </w:r>
    </w:p>
    <w:p>
      <w:pPr>
        <w:keepLines w:val="0"/>
        <w:pageBreakBefore w:val="0"/>
        <w:widowControl/>
        <w:kinsoku/>
        <w:wordWrap/>
        <w:overflowPunct/>
        <w:topLinePunct w:val="0"/>
        <w:autoSpaceDE/>
        <w:autoSpaceDN/>
        <w:bidi w:val="0"/>
        <w:adjustRightInd/>
        <w:snapToGrid/>
        <w:spacing w:before="0" w:after="0" w:line="240" w:lineRule="auto"/>
        <w:ind w:left="0" w:firstLine="4080" w:firstLineChars="170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——黄锡全《近十余年先秦货币的重要发现与研究》</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（1）后人以“礼崩乐坏”来描述春秋战国时期。根据材料一指出“礼崩乐坏”的表现，并结合所学分析“礼崩乐坏”带来的积极影响。</w:t>
      </w:r>
    </w:p>
    <w:p>
      <w:pPr>
        <w:keepLines w:val="0"/>
        <w:pageBreakBefore w:val="0"/>
        <w:widowControl/>
        <w:kinsoku/>
        <w:wordWrap/>
        <w:overflowPunct/>
        <w:topLinePunct w:val="0"/>
        <w:autoSpaceDE/>
        <w:autoSpaceDN/>
        <w:bidi w:val="0"/>
        <w:adjustRightInd/>
        <w:snapToGrid/>
        <w:spacing w:before="0" w:after="0"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（2）从材料二中提取信息，指出其反映的历史现象。</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Theme="minorEastAsia" w:hAnsiTheme="minorEastAsia" w:eastAsiaTheme="minorEastAsia" w:cstheme="minorEastAsia"/>
          <w:kern w:val="0"/>
          <w:sz w:val="24"/>
          <w:szCs w:val="24"/>
          <w:lang w:val="en-US" w:eastAsia="zh-CN"/>
        </w:rPr>
      </w:pPr>
      <w:bookmarkStart w:id="16" w:name="topic 0b82faff-239e-4c49-ad01-c1c981b7eb"/>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Theme="minorEastAsia" w:hAnsiTheme="minorEastAsia" w:eastAsiaTheme="minorEastAsia" w:cstheme="minorEastAsia"/>
          <w:kern w:val="0"/>
          <w:sz w:val="24"/>
          <w:szCs w:val="24"/>
          <w:lang w:val="en-US" w:eastAsia="zh-CN"/>
        </w:rPr>
      </w:pP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Theme="minorEastAsia" w:hAnsiTheme="minorEastAsia" w:eastAsiaTheme="minorEastAsia" w:cstheme="minorEastAsia"/>
          <w:kern w:val="0"/>
          <w:sz w:val="24"/>
          <w:szCs w:val="24"/>
          <w:lang w:val="en-US" w:eastAsia="zh-CN"/>
        </w:rPr>
      </w:pP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23、</w:t>
      </w:r>
      <w:r>
        <w:rPr>
          <w:rFonts w:hint="eastAsia" w:asciiTheme="minorEastAsia" w:hAnsiTheme="minorEastAsia" w:eastAsiaTheme="minorEastAsia" w:cstheme="minorEastAsia"/>
          <w:kern w:val="0"/>
          <w:sz w:val="24"/>
          <w:szCs w:val="24"/>
        </w:rPr>
        <w:t>材料</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 xml:space="preserve">任何一项制度，绝不是孤立存在的。各项制度间，必然是互相配合，形成一整套。某一制度之创立，它必有渊源，早在此项制度创立之先，已有此项制度之前身；某一制度之消失，它必有流变，早在此项制度消失之前，已在渐渐地变质。 </w:t>
      </w:r>
    </w:p>
    <w:p>
      <w:pPr>
        <w:keepLines w:val="0"/>
        <w:pageBreakBefore w:val="0"/>
        <w:widowControl/>
        <w:kinsoku/>
        <w:wordWrap/>
        <w:overflowPunct/>
        <w:topLinePunct w:val="0"/>
        <w:autoSpaceDE/>
        <w:autoSpaceDN/>
        <w:bidi w:val="0"/>
        <w:adjustRightInd/>
        <w:snapToGrid/>
        <w:spacing w:before="0" w:after="0" w:line="240" w:lineRule="auto"/>
        <w:ind w:left="0" w:firstLine="0"/>
        <w:jc w:val="righ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——摘编自钱穆《中国历代政治得失》</w:t>
      </w:r>
    </w:p>
    <w:p>
      <w:pPr>
        <w:keepLines w:val="0"/>
        <w:pageBreakBefore w:val="0"/>
        <w:widowControl/>
        <w:kinsoku/>
        <w:wordWrap/>
        <w:overflowPunct/>
        <w:topLinePunct w:val="0"/>
        <w:autoSpaceDE/>
        <w:autoSpaceDN/>
        <w:bidi w:val="0"/>
        <w:adjustRightInd/>
        <w:snapToGrid/>
        <w:spacing w:line="240" w:lineRule="auto"/>
        <w:ind w:left="0" w:firstLine="0"/>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依据材料并结合所学中国古代政治、思想史相关内容，自行拟定具体论题，并就所拟论题进行论述。(要求：明确写出具体论题，论述须有史实依据)</w:t>
      </w:r>
      <w:bookmarkEnd w:id="16"/>
      <w:r>
        <w:rPr>
          <w:rFonts w:hint="eastAsia" w:asciiTheme="minorEastAsia" w:hAnsiTheme="minorEastAsia" w:eastAsiaTheme="minorEastAsia" w:cstheme="minorEastAsia"/>
          <w:kern w:val="0"/>
          <w:sz w:val="24"/>
          <w:szCs w:val="24"/>
        </w:rPr>
        <w:br w:type="page"/>
      </w:r>
    </w:p>
    <w:p>
      <w:pPr>
        <w:keepLines w:val="0"/>
        <w:pageBreakBefore w:val="0"/>
        <w:widowControl/>
        <w:numPr>
          <w:ilvl w:val="0"/>
          <w:numId w:val="0"/>
        </w:numPr>
        <w:kinsoku/>
        <w:wordWrap/>
        <w:overflowPunct/>
        <w:topLinePunct w:val="0"/>
        <w:autoSpaceDE/>
        <w:autoSpaceDN/>
        <w:bidi w:val="0"/>
        <w:adjustRightInd/>
        <w:snapToGrid/>
        <w:spacing w:line="240" w:lineRule="auto"/>
        <w:ind w:left="0" w:firstLine="0"/>
        <w:jc w:val="center"/>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b/>
          <w:sz w:val="24"/>
          <w:szCs w:val="24"/>
        </w:rPr>
        <w:t>答案和解析</w:t>
      </w:r>
    </w:p>
    <w:p>
      <w:pPr>
        <w:keepLines w:val="0"/>
        <w:pageBreakBefore w:val="0"/>
        <w:widowControl/>
        <w:numPr>
          <w:ilvl w:val="0"/>
          <w:numId w:val="0"/>
        </w:numPr>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p>
    <w:p>
      <w:pPr>
        <w:keepLines w:val="0"/>
        <w:pageBreakBefore w:val="0"/>
        <w:widowControl/>
        <w:numPr>
          <w:ilvl w:val="0"/>
          <w:numId w:val="0"/>
        </w:numPr>
        <w:kinsoku/>
        <w:wordWrap/>
        <w:overflowPunct/>
        <w:topLinePunct w:val="0"/>
        <w:autoSpaceDE/>
        <w:autoSpaceDN/>
        <w:bidi w:val="0"/>
        <w:adjustRightInd/>
        <w:snapToGrid/>
        <w:spacing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1.【答案】</w:t>
      </w:r>
      <w:r>
        <w:rPr>
          <w:rFonts w:hint="eastAsia" w:asciiTheme="minorEastAsia" w:hAnsiTheme="minorEastAsia" w:eastAsiaTheme="minorEastAsia" w:cstheme="minorEastAsia"/>
          <w:kern w:val="0"/>
          <w:sz w:val="24"/>
          <w:szCs w:val="24"/>
        </w:rPr>
        <w:t>B</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A.青铜农具在农业生产中很少使用，故A项错误。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B.商朝时期实行井田制，因此井田制是当时土地经营的基本方式，故B项正确。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C.商朝青铜器多是礼器，具有一定的艺术价值，故C项错误。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D.手工业生产中的主要部门是青铜制造业，故D项错误。故选B。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2.【答案】</w:t>
      </w:r>
      <w:r>
        <w:rPr>
          <w:rFonts w:hint="eastAsia" w:asciiTheme="minorEastAsia" w:hAnsiTheme="minorEastAsia" w:eastAsiaTheme="minorEastAsia" w:cstheme="minorEastAsia"/>
          <w:kern w:val="0"/>
          <w:sz w:val="24"/>
          <w:szCs w:val="24"/>
        </w:rPr>
        <w:t>D</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D.由题干可知，到春秋时期，一个大夫的采邑就多达数十个，说明分封制遭到破坏，这是生产力不断发展的结果，故D正确。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A.土地国有制度并未被废除，故A错误。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B.春秋时期，分封体制遭到破坏，故B错误。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C.该项是表象，故排除C。故选D。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3.【答案】</w:t>
      </w:r>
      <w:r>
        <w:rPr>
          <w:rFonts w:hint="eastAsia" w:asciiTheme="minorEastAsia" w:hAnsiTheme="minorEastAsia" w:eastAsiaTheme="minorEastAsia" w:cstheme="minorEastAsia"/>
          <w:kern w:val="0"/>
          <w:sz w:val="24"/>
          <w:szCs w:val="24"/>
        </w:rPr>
        <w:t>B</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【解析】</w:t>
      </w:r>
      <w:r>
        <w:rPr>
          <w:rFonts w:hint="eastAsia" w:asciiTheme="minorEastAsia" w:hAnsiTheme="minorEastAsia" w:eastAsiaTheme="minorEastAsia" w:cstheme="minorEastAsia"/>
          <w:kern w:val="0"/>
          <w:sz w:val="24"/>
          <w:szCs w:val="24"/>
        </w:rPr>
        <w:t>材料“分封的子弟”“国人”“野人”“土著族群……其上层与国人互通婚姻”反映了周朝分封制下，西周贵族通过国野制度和与封地内部族上层互通婚姻的方式维系对地方的统治，这有利于巩固西周贵族统治，B项正确。互通婚姻的方式有利于周人与封国内各族的文化交流，A项排除；互通婚姻的方式扩大了西周统治的血缘基础，“减弱”一词说法不准确，C项排除；早期国家尚未实现中央集权，D项排除。</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4.【答案】</w:t>
      </w:r>
      <w:r>
        <w:rPr>
          <w:rFonts w:hint="eastAsia" w:asciiTheme="minorEastAsia" w:hAnsiTheme="minorEastAsia" w:eastAsiaTheme="minorEastAsia" w:cstheme="minorEastAsia"/>
          <w:kern w:val="0"/>
          <w:sz w:val="24"/>
          <w:szCs w:val="24"/>
        </w:rPr>
        <w:t>D</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5.【答案】</w:t>
      </w:r>
      <w:r>
        <w:rPr>
          <w:rFonts w:hint="eastAsia" w:asciiTheme="minorEastAsia" w:hAnsiTheme="minorEastAsia" w:eastAsiaTheme="minorEastAsia" w:cstheme="minorEastAsia"/>
          <w:kern w:val="0"/>
          <w:sz w:val="24"/>
          <w:szCs w:val="24"/>
        </w:rPr>
        <w:t>C</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A.据材料“国家的一级行政机构，又是大大小小的家族”可知材料主要强调的是血缘关系与政治制度相结合，而不是强调国家权力的分配，故不选A。</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B.据材料“殷王、周王、诸侯、卿大夫和各级贵族，既是各级政权的首领，又是各个家族的族长”可知材料体现出等级色彩又具有明显的血缘的色彩，故不选B。</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C.据材料“既是各级政权的首领，又是各个家族的族长”结合所学可知既是家族等级关系又是政治隶属关系，体现出家国同构的特征，故C正确。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D.依所学，商周时期，尚未实现权力的高度集中，故不选D。故选C。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6.【答案】</w:t>
      </w:r>
      <w:r>
        <w:rPr>
          <w:rFonts w:hint="eastAsia" w:asciiTheme="minorEastAsia" w:hAnsiTheme="minorEastAsia" w:eastAsiaTheme="minorEastAsia" w:cstheme="minorEastAsia"/>
          <w:kern w:val="0"/>
          <w:sz w:val="24"/>
          <w:szCs w:val="24"/>
        </w:rPr>
        <w:t>C</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依据题干“隆礼尊贤而王，重法爱民而霸”可知，统冶别人的人，推崇礼制而又尊重贤人，就可以在天下称王，重视法治而又爱护人民,就可以在诸侯中称霸；依据材料“以善至者，待之以礼；以不善至者，待之以刑”可知，对那些带着好的建议而来的人，就用礼节对待他；对那些怀着恶意而来的人，就用刑罚对待他，结合所学知识分析可知，主张礼法兼治，说明当时我国思想领域出现融合倾向，故C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ABD.三项没有体现题干的主旨，故排除ABD。故选C。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7.【答案】</w:t>
      </w:r>
      <w:r>
        <w:rPr>
          <w:rFonts w:hint="eastAsia" w:asciiTheme="minorEastAsia" w:hAnsiTheme="minorEastAsia" w:eastAsiaTheme="minorEastAsia" w:cstheme="minorEastAsia"/>
          <w:kern w:val="0"/>
          <w:sz w:val="24"/>
          <w:szCs w:val="24"/>
        </w:rPr>
        <w:t>B</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根据所学知识可知，圣书指《论语》；墨家倡导兼爱、非攻、节俭、尚贤，与救世的苦行者相符，《墨子》属于墨家学派的代表作品；法家强调法治、国家的统一与国家的秩序相对应，《韩非子》属于法家学派代表作，故B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ACD.明显不符合题意，故排除ACD。故选B。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8.【答案】</w:t>
      </w:r>
      <w:r>
        <w:rPr>
          <w:rFonts w:hint="eastAsia" w:asciiTheme="minorEastAsia" w:hAnsiTheme="minorEastAsia" w:eastAsiaTheme="minorEastAsia" w:cstheme="minorEastAsia"/>
          <w:kern w:val="0"/>
          <w:sz w:val="24"/>
          <w:szCs w:val="24"/>
        </w:rPr>
        <w:t>C</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9.【答案】</w:t>
      </w:r>
      <w:r>
        <w:rPr>
          <w:rFonts w:hint="eastAsia" w:asciiTheme="minorEastAsia" w:hAnsiTheme="minorEastAsia" w:eastAsiaTheme="minorEastAsia" w:cstheme="minorEastAsia"/>
          <w:kern w:val="0"/>
          <w:sz w:val="24"/>
          <w:szCs w:val="24"/>
        </w:rPr>
        <w:t>B</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根据题干信息及所学可知，法家主张以法治国，追求功利；践行法家思想，有助于实现富国强兵，在兼并战争中处于有利地位，避免在争霸战争中失败或成为别国兼并的对象，这是各诸侯国国君推行变法的出发点，故B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A.法家思想突出以法治国，严刑峻法，可见缓和社会矛盾不属于“初衷”，故A错误。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CD.春秋战国时期诸侯割据混战，实现富国强兵等政治、军事的目标是各国尊奉法家的“初衷”，而不在于统一思想和顺应历史潮流等，故CD错误。故选B。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10.【答案】</w:t>
      </w:r>
      <w:r>
        <w:rPr>
          <w:rFonts w:hint="eastAsia" w:asciiTheme="minorEastAsia" w:hAnsiTheme="minorEastAsia" w:eastAsiaTheme="minorEastAsia" w:cstheme="minorEastAsia"/>
          <w:kern w:val="0"/>
          <w:sz w:val="24"/>
          <w:szCs w:val="24"/>
        </w:rPr>
        <w:t>D</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11.【答案】</w:t>
      </w:r>
      <w:r>
        <w:rPr>
          <w:rFonts w:hint="eastAsia" w:asciiTheme="minorEastAsia" w:hAnsiTheme="minorEastAsia" w:eastAsiaTheme="minorEastAsia" w:cstheme="minorEastAsia"/>
          <w:kern w:val="0"/>
          <w:sz w:val="24"/>
          <w:szCs w:val="24"/>
        </w:rPr>
        <w:t>A</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A.题中系列措施有利于中央控制地方，以加强中央集权，符合秦朝专制主义中央集权的要求，故A正确。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B.此项提及的是皇帝决策，与题中主旨“加强对地方的控制”不符合，故B错误。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C.仅从题中信息无法看出是否缓和了中央与地方的矛盾，故C错误。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D.“杜绝”一词绝对化，且不符合史实，故D错误。故选A。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12.【答案】</w:t>
      </w:r>
      <w:r>
        <w:rPr>
          <w:rFonts w:hint="eastAsia" w:asciiTheme="minorEastAsia" w:hAnsiTheme="minorEastAsia" w:eastAsiaTheme="minorEastAsia" w:cstheme="minorEastAsia"/>
          <w:kern w:val="0"/>
          <w:sz w:val="24"/>
          <w:szCs w:val="24"/>
        </w:rPr>
        <w:t>C</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13.【答案】</w:t>
      </w:r>
      <w:r>
        <w:rPr>
          <w:rFonts w:hint="eastAsia" w:asciiTheme="minorEastAsia" w:hAnsiTheme="minorEastAsia" w:eastAsiaTheme="minorEastAsia" w:cstheme="minorEastAsia"/>
          <w:kern w:val="0"/>
          <w:sz w:val="24"/>
          <w:szCs w:val="24"/>
        </w:rPr>
        <w:t>C</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C.依据题干“秦朝的《工律》规定”“为器同物者……亦必等”可知指的是秦始皇统一度量衡，并且还规定由官府有关机构至少每年一次校正衡器的权、斗桶和升，促进了全国各地经济的交流，故C正确。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A.当时已经统一，排除A。</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B.秦朝是“重农抑商”，排除B。</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D.题干不能说明这一规定“标志统一国内市场形成”，排除D。故选C。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14.【答案】</w:t>
      </w:r>
      <w:r>
        <w:rPr>
          <w:rFonts w:hint="eastAsia" w:asciiTheme="minorEastAsia" w:hAnsiTheme="minorEastAsia" w:eastAsiaTheme="minorEastAsia" w:cstheme="minorEastAsia"/>
          <w:kern w:val="0"/>
          <w:sz w:val="24"/>
          <w:szCs w:val="24"/>
        </w:rPr>
        <w:t>B</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B.题干反映了秦代不是一开始就准备焚书坑儒，而是逐渐演进出来的，结合所学知识可知，随着秦代专制主义中央集权制度的建立，为适应君主专制建设的需要，秦政府实行焚书坑儒的政策，故B项符合题意。</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A.焚书坑儒政策给中国传统文化造成了严重的破坏，不代表历史发展趋势，故A项错误。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C.百家争鸣发生在春秋战国时期，故C项错误。</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D.题干没有体现文化专制越演越烈，故排除D项。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15.【答案】</w:t>
      </w:r>
      <w:r>
        <w:rPr>
          <w:rFonts w:hint="eastAsia" w:asciiTheme="minorEastAsia" w:hAnsiTheme="minorEastAsia" w:eastAsiaTheme="minorEastAsia" w:cstheme="minorEastAsia"/>
          <w:kern w:val="0"/>
          <w:sz w:val="24"/>
          <w:szCs w:val="24"/>
        </w:rPr>
        <w:t>A</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A.依据所学知识分析可知，秦始皇建立的绝对专制制度，各级官吏直接由皇帝任免，不再考虑世系和教育，从而有利于血缘政治向官僚政治转变，故A项正确。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BCD.综上分析，这三项与题干中“这一制度以个人亲信为基础，而不考虑世系和教育”的信息不符，故排除BCD。故选A。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16.【答案】</w:t>
      </w:r>
      <w:r>
        <w:rPr>
          <w:rFonts w:hint="eastAsia" w:asciiTheme="minorEastAsia" w:hAnsiTheme="minorEastAsia" w:eastAsiaTheme="minorEastAsia" w:cstheme="minorEastAsia"/>
          <w:kern w:val="0"/>
          <w:sz w:val="24"/>
          <w:szCs w:val="24"/>
        </w:rPr>
        <w:t>B</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A.秦始皇“焚书坑儒”；汉武帝时期“张骞西行”，故不选A。</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B.西汉初年实行“与民休息”，促进社会经济的恢复和发展；东汉光武帝刘秀采取一系列措施，促进社会经济在稳定的政局下重新发展，史称“光武中兴”，故B正确。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C.秦末陈胜、吴广起义；汉武帝时期董仲舒提出“独尊儒术”，故不选C。</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D.春秋战国时期出现“百家争鸣”局面；东汉后期政治黑暗，出现“党锢之祸”，故不选D。</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17.【答案】</w:t>
      </w:r>
      <w:r>
        <w:rPr>
          <w:rFonts w:hint="eastAsia" w:asciiTheme="minorEastAsia" w:hAnsiTheme="minorEastAsia" w:eastAsiaTheme="minorEastAsia" w:cstheme="minorEastAsia"/>
          <w:kern w:val="0"/>
          <w:sz w:val="24"/>
          <w:szCs w:val="24"/>
        </w:rPr>
        <w:t>A</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18.【答案】</w:t>
      </w:r>
      <w:r>
        <w:rPr>
          <w:rFonts w:hint="eastAsia" w:asciiTheme="minorEastAsia" w:hAnsiTheme="minorEastAsia" w:eastAsiaTheme="minorEastAsia" w:cstheme="minorEastAsia"/>
          <w:kern w:val="0"/>
          <w:sz w:val="24"/>
          <w:szCs w:val="24"/>
        </w:rPr>
        <w:t>A</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19.【答案】</w:t>
      </w:r>
      <w:r>
        <w:rPr>
          <w:rFonts w:hint="eastAsia" w:asciiTheme="minorEastAsia" w:hAnsiTheme="minorEastAsia" w:eastAsiaTheme="minorEastAsia" w:cstheme="minorEastAsia"/>
          <w:kern w:val="0"/>
          <w:sz w:val="24"/>
          <w:szCs w:val="24"/>
        </w:rPr>
        <w:t>A</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【解答】</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A 汉武帝时期，功臣列侯及其子弟不再担任丞相，这体现了丞相受到了皇帝的制约，加强了君权，A正确。</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B 材料没有提到儒学，故排除B。</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C 材料没有体现，故C排除。</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D 材料的主旨是君主专制，与中央集权无关，故D排除。故选A。  </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20.【答案】</w:t>
      </w:r>
      <w:r>
        <w:rPr>
          <w:rFonts w:hint="eastAsia" w:asciiTheme="minorEastAsia" w:hAnsiTheme="minorEastAsia" w:eastAsiaTheme="minorEastAsia" w:cstheme="minorEastAsia"/>
          <w:kern w:val="0"/>
          <w:sz w:val="24"/>
          <w:szCs w:val="24"/>
        </w:rPr>
        <w:t>B</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【解析】</w:t>
      </w:r>
      <w:r>
        <w:rPr>
          <w:rFonts w:hint="eastAsia" w:asciiTheme="minorEastAsia" w:hAnsiTheme="minorEastAsia" w:eastAsiaTheme="minorEastAsia" w:cstheme="minorEastAsia"/>
          <w:kern w:val="0"/>
          <w:sz w:val="24"/>
          <w:szCs w:val="24"/>
        </w:rPr>
        <w:t xml:space="preserve">依据材料“汉元帝时，宦官弘恭、石显以中书的身份专断国政；哀帝、平帝之世，外戚王氏相继把持中朝”可知，汉元帝等三位皇帝在位期间，外戚当政，以丞相为首的官僚集团势力下降，故B正确。 </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 xml:space="preserve">中外朝制度使君主专制是君主专制强化，排除A。 </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 xml:space="preserve">题干无法体现君权与相权的斗争信息，排除C。 </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封建制度的腐朽是王朝灭亡的根源，排除D。 故选：B。</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color w:val="3333FF"/>
          <w:kern w:val="0"/>
          <w:sz w:val="24"/>
          <w:szCs w:val="24"/>
        </w:rPr>
        <w:t>21.【答案】</w:t>
      </w:r>
      <w:r>
        <w:rPr>
          <w:rFonts w:hint="eastAsia" w:asciiTheme="minorEastAsia" w:hAnsiTheme="minorEastAsia" w:eastAsiaTheme="minorEastAsia" w:cstheme="minorEastAsia"/>
          <w:kern w:val="0"/>
          <w:sz w:val="24"/>
          <w:szCs w:val="24"/>
        </w:rPr>
        <w:t>（1）原因：人民渴望统一；秦国地理位置优越；商鞅变法为统一奠定了坚实的基础；秦王嬴政的励精图治；等等。措施：政治上，确立皇帝制度，实行三公九卿制，推行郡县制。经济上，统一车轨、货币、度量衡等。思想文化上，统一文字，焚书坑儒。军事上，击退匈奴，修长城；征服南方越族地区。</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（2）制度：中外朝制；推恩令；察举制；刺史制。</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（3）特点：君主专制，中央集权，官僚政治。</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【解析】</w:t>
      </w:r>
      <w:r>
        <w:rPr>
          <w:rFonts w:hint="eastAsia" w:asciiTheme="minorEastAsia" w:hAnsiTheme="minorEastAsia" w:eastAsiaTheme="minorEastAsia" w:cstheme="minorEastAsia"/>
          <w:kern w:val="0"/>
          <w:sz w:val="24"/>
          <w:szCs w:val="24"/>
        </w:rPr>
        <w:t>（1）本题考查秦朝统一的原因以及秦朝巩固统一的措施，要求运用所学分析解读材料信息。第一小问，根据材料一“秦国的崛起是制度的胜利”，并结合所学可从人民渴望统一、秦国地理位置优越、商鞅变法、秦王嬴政的励精图治等方面概括秦朝统一的原因。第二小问，根据材料一“除道，道九原，抵云阳，山堙谷，直通之”“使将军蒙恬发兵三十万人北击胡，河南地”“发诸尝適亡人、赘婿、贾人略取陆梁地，为桂林、象郡、南十四县”，并结合所学从政治、经济、思想文化、军事等方面概括秦朝巩固统一的措施。</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2）本题考查汉武帝造就“盛世”的相关政治制度，要求运用所学分析解读材料信息。根据材料二“是时征伐四夷，开置边郡，军旅数发，内改制度，朝廷多事”，并结合所学可得出汉武帝造就“盛世”的相关政治制度有：设立中外朝制，加强皇权；颁布推恩令，解决王国问题；实行新的选官制度——察举制；设刺史巡视检查地方。</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3）本题考查我国古代政治体制的基本特点，要求运用所学分析解读材料信息。综合上述材料并结合所学分析我国古代政治体制的基本特点是：形成了以皇权为中心的中央行政体制，君主专制加强；削弱地方，加强中央集权；官僚政治取代贵族政治。</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0000FF"/>
          <w:kern w:val="0"/>
          <w:sz w:val="24"/>
          <w:szCs w:val="24"/>
        </w:rPr>
        <w:t>2</w:t>
      </w:r>
      <w:r>
        <w:rPr>
          <w:rFonts w:hint="eastAsia" w:asciiTheme="minorEastAsia" w:hAnsiTheme="minorEastAsia" w:eastAsiaTheme="minorEastAsia" w:cstheme="minorEastAsia"/>
          <w:color w:val="0000FF"/>
          <w:kern w:val="0"/>
          <w:sz w:val="24"/>
          <w:szCs w:val="24"/>
          <w:lang w:val="en-US" w:eastAsia="zh-CN"/>
        </w:rPr>
        <w:t>2</w:t>
      </w:r>
      <w:r>
        <w:rPr>
          <w:rFonts w:hint="eastAsia" w:asciiTheme="minorEastAsia" w:hAnsiTheme="minorEastAsia" w:eastAsiaTheme="minorEastAsia" w:cstheme="minorEastAsia"/>
          <w:color w:val="0000FF"/>
          <w:kern w:val="0"/>
          <w:sz w:val="24"/>
          <w:szCs w:val="24"/>
        </w:rPr>
        <w:t>.【答案】</w:t>
      </w:r>
      <w:r>
        <w:rPr>
          <w:rFonts w:hint="eastAsia" w:asciiTheme="minorEastAsia" w:hAnsiTheme="minorEastAsia" w:eastAsiaTheme="minorEastAsia" w:cstheme="minorEastAsia"/>
          <w:kern w:val="0"/>
          <w:sz w:val="24"/>
          <w:szCs w:val="24"/>
        </w:rPr>
        <w:t>（1）表现：诸侯称霸称王，控制、兼并其他诸侯国，诸侯国内卿大夫弑君篡权，破坏了分封宗法制；私学兴起，破坏了“学在官府”的制度。影响：长期混战中，各国为富国强兵而实行变法，推动了社会转型。私学兴起，统治者重用士人，为百家争鸣局面的形成创造了条件。</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（2）出土货币的数量多和种类丰富；反映战国时期燕国地区商业繁荣，交易量比较大；窖藏多国货币，反映战国时期区域间的经济往来频繁。</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解析】（1）本题考查春秋战国的时代特征，要求运用所学分析解读材料信息。第一小问，根据材料一“春秋时期，王室衰弱，一些实力较为强大的诸侯趁机割据一方......诸侯国内部权力下移，以臣弑君的事件也屡见不鲜。战国时期，诸侯纷纷称王，兼并战争愈演愈烈”可知诸侯称霸称王，控制、兼并其他诸侯国，诸侯国内卿大夫弑君篡权，破坏了分封宗法制；根据“周王室更加衰落，无力维护‘学在官府’的体制，私人讲学兴起”得出私学兴起，破坏了“学在官府”的制度。第二小问，根据“战国时期，诸侯纷纷称王，兼并战争愈演愈烈”和所学可知，春秋战国各国为富国强兵而实行变法，推动了社会转型。根据“进入战国，各国统治者纷纷招揽人才，一些大贵族还以养士竞争高下”和所学可知，私学兴起，统治者重用士人，为百家争鸣局面的形成创造了条件。</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本题考查战国时期的经济和史料价值，要求概括材料信息和掌握基本的史料分析方法。根据材料二“内含包括赵国直刀、燕国明刀、三晋及燕的方足布等战国货币三万余枚，其中绝大部分为方足布币。据报道者称，这批方足布大概有70 余种”可知出土货币的数量多和种类丰富，反映战国时期燕国地区商业繁荣，交易量比较大；多国货币的存在，表明区域经济交流频繁。</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3333FF"/>
          <w:kern w:val="0"/>
          <w:sz w:val="24"/>
          <w:szCs w:val="24"/>
        </w:rPr>
        <w:t>2</w:t>
      </w:r>
      <w:r>
        <w:rPr>
          <w:rFonts w:hint="eastAsia" w:asciiTheme="minorEastAsia" w:hAnsiTheme="minorEastAsia" w:eastAsiaTheme="minorEastAsia" w:cstheme="minorEastAsia"/>
          <w:color w:val="3333FF"/>
          <w:kern w:val="0"/>
          <w:sz w:val="24"/>
          <w:szCs w:val="24"/>
          <w:lang w:val="en-US" w:eastAsia="zh-CN"/>
        </w:rPr>
        <w:t>3</w:t>
      </w:r>
      <w:r>
        <w:rPr>
          <w:rFonts w:hint="eastAsia" w:asciiTheme="minorEastAsia" w:hAnsiTheme="minorEastAsia" w:eastAsiaTheme="minorEastAsia" w:cstheme="minorEastAsia"/>
          <w:color w:val="3333FF"/>
          <w:kern w:val="0"/>
          <w:sz w:val="24"/>
          <w:szCs w:val="24"/>
        </w:rPr>
        <w:t>.【答案】</w:t>
      </w:r>
      <w:r>
        <w:rPr>
          <w:rFonts w:hint="eastAsia" w:asciiTheme="minorEastAsia" w:hAnsiTheme="minorEastAsia" w:eastAsiaTheme="minorEastAsia" w:cstheme="minorEastAsia"/>
          <w:kern w:val="0"/>
          <w:sz w:val="24"/>
          <w:szCs w:val="24"/>
        </w:rPr>
        <w:t>示例一：论题：丞相制度的废除是历史发展的结果。论述：秦朝建立之初，设置丞相，帮助皇帝处置政务，但也埋下皇权与相权之间矛盾隐患。汉代内朝制度、唐代三省六部制均是为分散相权而做出的制度设计，但相权仍对皇权构成一定的威胁。明太祖朱元璋为彻底消除相权对皇权的威胁，废除了丞相制度。可见，丞相制度的废除是君主专制不断发展的结果。</w:t>
      </w:r>
      <w:r>
        <w:rPr>
          <w:rFonts w:hint="eastAsia" w:asciiTheme="minorEastAsia" w:hAnsiTheme="minorEastAsia" w:eastAsiaTheme="minorEastAsia" w:cstheme="minorEastAsia"/>
          <w:kern w:val="0"/>
          <w:sz w:val="24"/>
          <w:szCs w:val="24"/>
        </w:rPr>
        <w:br w:type="textWrapping"/>
      </w:r>
      <w:r>
        <w:rPr>
          <w:rFonts w:hint="eastAsia" w:asciiTheme="minorEastAsia" w:hAnsiTheme="minorEastAsia" w:eastAsiaTheme="minorEastAsia" w:cstheme="minorEastAsia"/>
          <w:kern w:val="0"/>
          <w:sz w:val="24"/>
          <w:szCs w:val="24"/>
        </w:rPr>
        <w:t>示例二：论题：井田制和分封制相结合，构成周代制度的基础。论述：井田制是周代土地国有制度，土地及其土地上的人口均为周天子所有。通过分封制，周天子将土地及其土地上的人口授予各地诸侯，各地诸侯只有使用权，没有所有权；获得土地、人口的诸侯必须向周天子承担必要的政治、经济义务。可见，井田制为经济基础，分封制为上层建筑，它们之间的结合，构成周代制度的基础。</w:t>
      </w:r>
    </w:p>
    <w:p>
      <w:pPr>
        <w:keepLines w:val="0"/>
        <w:pageBreakBefore w:val="0"/>
        <w:widowControl/>
        <w:numPr>
          <w:ilvl w:val="0"/>
          <w:numId w:val="0"/>
        </w:numPr>
        <w:kinsoku/>
        <w:wordWrap/>
        <w:overflowPunct/>
        <w:topLinePunct w:val="0"/>
        <w:autoSpaceDE/>
        <w:autoSpaceDN/>
        <w:bidi w:val="0"/>
        <w:adjustRightInd/>
        <w:snapToGrid/>
        <w:spacing w:before="0" w:after="0" w:line="240" w:lineRule="auto"/>
        <w:ind w:left="0" w:firstLine="0"/>
        <w:jc w:val="left"/>
        <w:textAlignment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3333FF"/>
          <w:kern w:val="0"/>
          <w:sz w:val="24"/>
          <w:szCs w:val="24"/>
        </w:rPr>
        <w:t>【解析】</w:t>
      </w:r>
      <w:r>
        <w:rPr>
          <w:rFonts w:hint="eastAsia" w:asciiTheme="minorEastAsia" w:hAnsiTheme="minorEastAsia" w:eastAsiaTheme="minorEastAsia" w:cstheme="minorEastAsia"/>
          <w:kern w:val="0"/>
          <w:sz w:val="24"/>
          <w:szCs w:val="24"/>
        </w:rPr>
        <w:t>本题主要考查古代中国政治制度的相关知识，要求具备获取，解读材料信息、结合所学知识概括阐释问题的能力。通过阅读材料“任何一项制度，绝不是孤立存在的，各项制度间，必然是互相配合，形成一整套”，、“某一制度之创立，它必有渊源”、 “某一制度之消失，它必有流变......”，认识理解政治制度之间的关系，形成及消亡的观点，结合古代中国政治制度的相关知识，可拟定如下论题并进行论述：​示例一：论题：丞相制度的废除是历史发展的结果。论述是秦朝建立之初，设置丞相，帮助皇帝处置政务，但也埋下皇权与相权之间矛盾隐患。汉代内朝制度、唐代三省六部制均是为分散相权而做出的制度设计，但相权仍对皇权构成一定的威胁。明太祖朱元璋为彻底消除相权对皇权的威胁，废除了丞相制度。可见，丞相制度的废除是君主专制不断发展的结果。</w:t>
      </w:r>
      <w:r>
        <w:rPr>
          <w:rFonts w:hint="eastAsia" w:asciiTheme="minorEastAsia" w:hAnsiTheme="minorEastAsia" w:eastAsiaTheme="minorEastAsia" w:cstheme="minorEastAsia"/>
          <w:kern w:val="0"/>
          <w:sz w:val="24"/>
          <w:szCs w:val="24"/>
        </w:rPr>
        <w:br w:type="textWrapping"/>
      </w:r>
    </w:p>
    <w:sectPr>
      <w:footerReference r:id="rId3" w:type="default"/>
      <w:footerReference r:id="rId4" w:type="even"/>
      <w:pgSz w:w="11906" w:h="16838"/>
      <w:pgMar w:top="1440" w:right="1080" w:bottom="1440" w:left="1080" w:header="500" w:footer="500" w:gutter="0"/>
      <w:cols w:space="425" w:num="1" w:sep="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3849985-76A7-4396-9B62-197F9430430F}"/>
  </w:font>
  <w:font w:name="宋体">
    <w:panose1 w:val="02010600030101010101"/>
    <w:charset w:val="86"/>
    <w:family w:val="auto"/>
    <w:pitch w:val="default"/>
    <w:sig w:usb0="00000203" w:usb1="288F0000" w:usb2="00000006" w:usb3="00000000" w:csb0="00040001" w:csb1="00000000"/>
    <w:embedRegular r:id="rId2" w:fontKey="{E597A9C4-A447-4987-A3F2-AA4C2F6D571A}"/>
  </w:font>
  <w:font w:name="Wingdings">
    <w:panose1 w:val="05000000000000000000"/>
    <w:charset w:val="02"/>
    <w:family w:val="auto"/>
    <w:pitch w:val="default"/>
    <w:sig w:usb0="00000000" w:usb1="00000000" w:usb2="00000000" w:usb3="00000000" w:csb0="80000000" w:csb1="00000000"/>
    <w:embedRegular r:id="rId3" w:fontKey="{6B353A9E-FF37-41E6-B495-6D143D178DDE}"/>
  </w:font>
  <w:font w:name="Arial">
    <w:panose1 w:val="020B0604020202020204"/>
    <w:charset w:val="01"/>
    <w:family w:val="swiss"/>
    <w:pitch w:val="default"/>
    <w:sig w:usb0="E0002EFF" w:usb1="C000785B" w:usb2="00000009" w:usb3="00000000" w:csb0="400001FF" w:csb1="FFFF0000"/>
    <w:embedRegular r:id="rId4" w:fontKey="{CBEB63E6-DE57-4C5D-87D9-AC46ECF250F7}"/>
  </w:font>
  <w:font w:name="黑体">
    <w:panose1 w:val="02010609060101010101"/>
    <w:charset w:val="86"/>
    <w:family w:val="auto"/>
    <w:pitch w:val="default"/>
    <w:sig w:usb0="800002BF" w:usb1="38CF7CFA" w:usb2="00000016" w:usb3="00000000" w:csb0="00040001" w:csb1="00000000"/>
    <w:embedRegular r:id="rId5" w:fontKey="{4E2F4CC7-F176-4426-AFDE-75115E407C33}"/>
  </w:font>
  <w:font w:name="Courier New">
    <w:panose1 w:val="02070309020205020404"/>
    <w:charset w:val="01"/>
    <w:family w:val="modern"/>
    <w:pitch w:val="default"/>
    <w:sig w:usb0="E0002EFF" w:usb1="C0007843" w:usb2="00000009" w:usb3="00000000" w:csb0="400001FF" w:csb1="FFFF0000"/>
    <w:embedRegular r:id="rId6" w:fontKey="{D04E5017-F95C-4CDB-9461-E10C7DC7D468}"/>
  </w:font>
  <w:font w:name="Symbol">
    <w:panose1 w:val="05050102010706020507"/>
    <w:charset w:val="02"/>
    <w:family w:val="roman"/>
    <w:pitch w:val="default"/>
    <w:sig w:usb0="00000000" w:usb1="00000000" w:usb2="00000000" w:usb3="00000000" w:csb0="80000000" w:csb1="00000000"/>
    <w:embedRegular r:id="rId7" w:fontKey="{C90B397D-06FD-4BF3-AAC1-A465897D150B}"/>
  </w:font>
  <w:font w:name="Calibri">
    <w:panose1 w:val="020F0502020204030204"/>
    <w:charset w:val="00"/>
    <w:family w:val="swiss"/>
    <w:pitch w:val="default"/>
    <w:sig w:usb0="E4002EFF" w:usb1="C000247B" w:usb2="00000009" w:usb3="00000000" w:csb0="200001FF" w:csb1="00000000"/>
    <w:embedRegular r:id="rId8" w:fontKey="{ADCDAC0F-E380-4598-8FC0-C04A1925A5EA}"/>
  </w:font>
  <w:font w:name="Cambria Math">
    <w:panose1 w:val="02040503050406030204"/>
    <w:charset w:val="00"/>
    <w:family w:val="auto"/>
    <w:pitch w:val="default"/>
    <w:sig w:usb0="E00006FF" w:usb1="420024FF" w:usb2="02000000" w:usb3="00000000" w:csb0="2000019F" w:csb1="00000000"/>
    <w:embedRegular r:id="rId9" w:fontKey="{6066B149-CEBD-4EED-A555-5D58026AF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mirrorMargins w:val="1"/>
  <w:bordersDoNotSurroundHeader w:val="1"/>
  <w:bordersDoNotSurroundFooter w:val="1"/>
  <w:documentProtection w:enforcement="0"/>
  <w:defaultTabStop w:val="84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AwYzViNTBhZGQ1ZWQxZTgwM2FjZWNmMDgwODhhOTkifQ=="/>
  </w:docVars>
  <w:rsids>
    <w:rsidRoot w:val="00000000"/>
    <w:rsid w:val="1EC72DA0"/>
    <w:rsid w:val="1F4C77B7"/>
    <w:rsid w:val="3A676204"/>
    <w:rsid w:val="522E0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uiPriority w:val="1"/>
    <w:rPr>
      <w:rFonts w:ascii="Cambria Math" w:hAnsi="宋体" w:eastAsia="宋体" w:cs="Cambria Math"/>
    </w:rPr>
  </w:style>
  <w:style w:type="table" w:default="1" w:styleId="5">
    <w:name w:val="Normal Table"/>
    <w:semiHidden/>
    <w:unhideWhenUsed/>
    <w:qFormat/>
    <w:uiPriority w:val="99"/>
    <w:rPr>
      <w:rFonts w:ascii="Cambria Math" w:hAnsi="宋体" w:eastAsia="宋体" w:cs="Cambria Math"/>
    </w:rPr>
    <w:tblPr>
      <w:tblCellMar>
        <w:top w:w="0" w:type="dxa"/>
        <w:left w:w="108" w:type="dxa"/>
        <w:bottom w:w="0" w:type="dxa"/>
        <w:right w:w="108" w:type="dxa"/>
      </w:tblCellMar>
    </w:tblPr>
  </w:style>
  <w:style w:type="paragraph" w:styleId="2">
    <w:name w:val="Balloon Text"/>
    <w:basedOn w:val="1"/>
    <w:link w:val="10"/>
    <w:semiHidden/>
    <w:unhideWhenUsed/>
    <w:qFormat/>
    <w:uiPriority w:val="99"/>
    <w:rPr>
      <w:rFonts w:ascii="Cambria Math" w:hAnsi="宋体" w:eastAsia="宋体" w:cs="Cambria Math"/>
      <w:sz w:val="18"/>
      <w:szCs w:val="18"/>
    </w:rPr>
  </w:style>
  <w:style w:type="paragraph" w:styleId="3">
    <w:name w:val="footer"/>
    <w:basedOn w:val="1"/>
    <w:link w:val="9"/>
    <w:unhideWhenUsed/>
    <w:qFormat/>
    <w:uiPriority w:val="99"/>
    <w:pPr>
      <w:tabs>
        <w:tab w:val="center" w:pos="4153"/>
        <w:tab w:val="right" w:pos="8306"/>
      </w:tabs>
      <w:snapToGrid w:val="0"/>
    </w:pPr>
    <w:rPr>
      <w:rFonts w:ascii="Cambria Math" w:hAnsi="宋体" w:eastAsia="宋体" w:cs="Cambria Math"/>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rFonts w:ascii="Cambria Math" w:hAnsi="宋体" w:eastAsia="宋体" w:cs="Cambria Math"/>
      <w:sz w:val="18"/>
      <w:szCs w:val="18"/>
    </w:rPr>
  </w:style>
  <w:style w:type="table" w:styleId="6">
    <w:name w:val="Table Grid"/>
    <w:basedOn w:val="5"/>
    <w:qFormat/>
    <w:uiPriority w:val="59"/>
    <w:rPr>
      <w:rFonts w:ascii="Cambria Math" w:hAnsi="宋体" w:eastAsia="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rFonts w:ascii="Cambria Math" w:hAnsi="宋体" w:eastAsia="宋体" w:cs="Cambria Math"/>
      <w:sz w:val="18"/>
      <w:szCs w:val="18"/>
    </w:rPr>
  </w:style>
  <w:style w:type="character" w:customStyle="1" w:styleId="9">
    <w:name w:val="页脚 Char"/>
    <w:basedOn w:val="7"/>
    <w:link w:val="3"/>
    <w:qFormat/>
    <w:uiPriority w:val="99"/>
    <w:rPr>
      <w:rFonts w:ascii="Cambria Math" w:hAnsi="宋体" w:eastAsia="宋体" w:cs="Cambria Math"/>
      <w:sz w:val="18"/>
      <w:szCs w:val="18"/>
    </w:rPr>
  </w:style>
  <w:style w:type="character" w:customStyle="1" w:styleId="10">
    <w:name w:val="批注框文本 Char"/>
    <w:basedOn w:val="7"/>
    <w:link w:val="2"/>
    <w:semiHidden/>
    <w:qFormat/>
    <w:uiPriority w:val="99"/>
    <w:rPr>
      <w:rFonts w:ascii="Cambria Math" w:hAnsi="宋体" w:eastAsia="宋体" w:cs="Cambria Math"/>
      <w:sz w:val="18"/>
      <w:szCs w:val="18"/>
    </w:rPr>
  </w:style>
  <w:style w:type="paragraph" w:styleId="11">
    <w:name w:val="No Spacing"/>
    <w:link w:val="12"/>
    <w:qFormat/>
    <w:uiPriority w:val="1"/>
    <w:rPr>
      <w:rFonts w:ascii="Cambria Math" w:hAnsi="宋体" w:eastAsia="宋体" w:cs="Cambria Math"/>
      <w:kern w:val="0"/>
      <w:sz w:val="22"/>
      <w:szCs w:val="22"/>
      <w:lang w:val="en-US" w:eastAsia="zh-CN" w:bidi="ar-SA"/>
    </w:rPr>
  </w:style>
  <w:style w:type="character" w:customStyle="1" w:styleId="12">
    <w:name w:val="无间隔 Char"/>
    <w:basedOn w:val="7"/>
    <w:link w:val="11"/>
    <w:qFormat/>
    <w:uiPriority w:val="1"/>
    <w:rPr>
      <w:rFonts w:ascii="Cambria Math" w:hAnsi="宋体" w:eastAsia="宋体" w:cs="Cambria Math"/>
      <w:kern w:val="0"/>
      <w:sz w:val="22"/>
    </w:rPr>
  </w:style>
  <w:style w:type="paragraph" w:styleId="13">
    <w:name w:val="List Paragraph"/>
    <w:basedOn w:val="1"/>
    <w:qFormat/>
    <w:uiPriority w:val="34"/>
    <w:pPr>
      <w:ind w:firstLine="420" w:firstLineChars="200"/>
    </w:pPr>
    <w:rPr>
      <w:rFonts w:ascii="Cambria Math" w:hAnsi="宋体" w:eastAsia="宋体" w:cs="Cambria Math"/>
    </w:rPr>
  </w:style>
  <w:style w:type="character" w:customStyle="1" w:styleId="14">
    <w:name w:val="Subtle Emphasis"/>
    <w:basedOn w:val="7"/>
    <w:qFormat/>
    <w:uiPriority w:val="19"/>
    <w:rPr>
      <w:rFonts w:ascii="Cambria Math" w:hAnsi="宋体" w:eastAsia="宋体" w:cs="Cambria Math"/>
      <w:i/>
      <w:iCs/>
      <w:color w:val="808080" w:themeColor="text1" w:themeTint="80"/>
      <w14:textFill>
        <w14:solidFill>
          <w14:schemeClr w14:val="tx1">
            <w14:lumMod w14:val="50000"/>
            <w14:lumOff w14:val="50000"/>
          </w14:schemeClr>
        </w14:solidFill>
      </w14:textFill>
    </w:rPr>
  </w:style>
  <w:style w:type="table" w:customStyle="1" w:styleId="15">
    <w:name w:val=" cke_show_bord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xtzj xmlns="http://schemas.microsoft.com/vsto/xtzj">
  <dataContent>041093875-89f1-4894-b698-4b2034468388;7227a59cd-de7b-4367-b18a-e02f4b4f5c60,ed07d9229-19d5-495e-8576-302662aa381d,e6a058722-ba25-44af-8edf-335e594bc95f,b9e8334c4-8d31-4d93-81bc-cf481a029766,8c211a6c0-dd23-48cd-88a6-0fa0b03c9e4c,87c3c25fc-17af-4104-ba0d-ac3aa748d904,dad99a31a-ff6e-49f9-a5ed-b16a63df7083,7f571b681-ac1a-45ae-aae3-39273e824db6,ac15790f2-47f7-45b2-b9a4-2d89595f80b2,4f001a2e6-9f92-4098-ae85-cb724f50148a,59a1aaae2-f124-4bae-bab0-84f0946bb937,c860a6790-6c7f-446b-aefd-5a4d17594013,a0a8094a8-6a08-400a-8a80-25defb50b5ff,4a48e8aa4-60f9-4b40-ac1f-60a5d06ef2f2,135261125-77d9-47e6-9ac6-4ef189584dc8,75c5bd4ea-018b-4719-a909-37e76ed44819,6121e84cf-6e9b-412e-a7a4-325cf0c6d610,4703b69a4-40f0-48a0-a98b-4f97d8d42185,abe049488-81c2-4288-9661-2a30ac808977,2ef2658d6-9171-4cde-a666-fe367d1fc7ac,b1f755227-52dc-41d8-9aa5-db842e9e4dfa,65e2797ea-a3ca-419d-b6f2-accd29db6b89,</dataContent>
</xtzj>
</file>

<file path=customXml/itemProps1.xml><?xml version="1.0" encoding="utf-8"?>
<ds:datastoreItem xmlns:ds="http://schemas.openxmlformats.org/officeDocument/2006/customXml" ds:itemID="{2C9D0EBA-54FB-4B79-89EF-9240A6055C5F}">
  <ds:schemaRefs/>
</ds:datastoreItem>
</file>

<file path=customXml/itemProps2.xml><?xml version="1.0" encoding="utf-8"?>
<ds:datastoreItem xmlns:ds="http://schemas.openxmlformats.org/officeDocument/2006/customXml" ds:itemID="{9aac2a13-3bfa-4ffd-8f74-69271b5c3493}">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7</Pages>
  <Words>7023</Words>
  <Characters>7212</Characters>
  <DocSecurity>0</DocSecurity>
  <Lines>0</Lines>
  <Paragraphs>0</Paragraphs>
  <ScaleCrop>false</ScaleCrop>
  <LinksUpToDate>false</LinksUpToDate>
  <CharactersWithSpaces>7548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2023-08-23T03:09:09Z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883BB04120564058829EEFE8EADDD23D_12</vt:lpwstr>
  </property>
</Properties>
</file>