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12192000</wp:posOffset>
            </wp:positionV>
            <wp:extent cx="342900" cy="2667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sz w:val="30"/>
        </w:rPr>
        <w:t>基础训练</w:t>
      </w:r>
    </w:p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  <w:r>
        <w:rPr>
          <w:rFonts w:ascii="黑体" w:hAnsi="黑体" w:eastAsia="黑体" w:cs="黑体"/>
          <w:b/>
          <w:sz w:val="30"/>
        </w:rPr>
        <w:t>中国古代史专题（一）</w:t>
      </w:r>
    </w:p>
    <w:p>
      <w:pPr>
        <w:shd w:val="clear" w:color="auto" w:fill="auto"/>
        <w:jc w:val="center"/>
        <w:rPr>
          <w:rFonts w:ascii="Calibri" w:hAnsi="Calibri" w:eastAsia="Calibri" w:cs="Calibri"/>
          <w:b w:val="0"/>
          <w:sz w:val="21"/>
        </w:rPr>
      </w:pPr>
      <w:r>
        <w:rPr>
          <w:rFonts w:ascii="Calibri" w:hAnsi="Calibri" w:eastAsia="Calibri" w:cs="Calibri"/>
          <w:b w:val="0"/>
          <w:sz w:val="21"/>
        </w:rPr>
        <w:t>学校:___________姓名：___________班级：___________考号：___________</w:t>
      </w:r>
    </w:p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一、单选题</w:t>
      </w:r>
    </w:p>
    <w:p>
      <w:pPr>
        <w:shd w:val="clear" w:color="auto" w:fill="auto"/>
        <w:spacing w:line="360" w:lineRule="auto"/>
        <w:jc w:val="left"/>
      </w:pPr>
      <w:r>
        <w:t>1．下图分别是红山文化牛梁河遗址的祭坛、积石冢和出土的精美玉器。据此可推知，红山文化（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3857625" cy="1504950"/>
            <wp:effectExtent l="0" t="0" r="13335" b="381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A．仍处于打制石器时代</w:t>
      </w:r>
      <w:r>
        <w:tab/>
      </w:r>
      <w:r>
        <w:t>B．已进入阶级社会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C．奴隶制国家已经产生</w:t>
      </w:r>
      <w:r>
        <w:tab/>
      </w:r>
      <w:r>
        <w:t>D．私有制已经产生</w:t>
      </w:r>
    </w:p>
    <w:p>
      <w:pPr>
        <w:shd w:val="clear" w:color="auto" w:fill="auto"/>
        <w:spacing w:line="360" w:lineRule="auto"/>
        <w:jc w:val="left"/>
      </w:pPr>
      <w:r>
        <w:t>2．《史记》记载：商鞅“为田，开阡陌封疆，而赋税平”。《战国策》说商鞅“决裂阡陌，教民耕战”。上述现象出现的根本原因是（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A．手工业的发展</w:t>
      </w:r>
      <w:r>
        <w:tab/>
      </w:r>
      <w:r>
        <w:t>B．铁器和牛耕的使用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C．商品经济的发展</w:t>
      </w:r>
      <w:r>
        <w:tab/>
      </w:r>
      <w:r>
        <w:t>D．封建土地私有制的确立</w:t>
      </w:r>
    </w:p>
    <w:p>
      <w:pPr>
        <w:shd w:val="clear" w:color="auto" w:fill="auto"/>
        <w:spacing w:line="360" w:lineRule="auto"/>
        <w:jc w:val="left"/>
      </w:pPr>
      <w:r>
        <w:t>3．《睡虎地秦墓竹简·秦律十八种》记载：各县要书面报告农田受雨、抽穗、垦而未种、受灾面积以及降雨量等，每年八月底以前送达朝廷；主管仓库的官吏每年十月份要将各类粮食的库存数量上报内史。这些要求有助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A．确立小农经济的主导地位</w:t>
      </w:r>
      <w:r>
        <w:tab/>
      </w:r>
      <w:r>
        <w:t>B．完善地方机构的运行机制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C．维护官僚队伍的清正廉洁</w:t>
      </w:r>
      <w:r>
        <w:tab/>
      </w:r>
      <w:r>
        <w:t>D．提升国家治理的行政效率</w:t>
      </w:r>
    </w:p>
    <w:p>
      <w:pPr>
        <w:shd w:val="clear" w:color="auto" w:fill="auto"/>
        <w:spacing w:line="360" w:lineRule="auto"/>
        <w:jc w:val="left"/>
      </w:pPr>
      <w:r>
        <w:t>4．下图所示是汉武帝实行盐铁官营政策的漫画。据图可知，汉武帝的盐铁官营政策（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171700" cy="1228725"/>
            <wp:effectExtent l="0" t="0" r="7620" b="571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A．增加了农民的赋役负担</w:t>
      </w:r>
      <w:r>
        <w:tab/>
      </w:r>
      <w:r>
        <w:t>B．否定了重农抑商的政策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C．加强了政府的经济职能</w:t>
      </w:r>
      <w:r>
        <w:tab/>
      </w:r>
      <w:r>
        <w:t>D．强化了君主专制的统治</w:t>
      </w:r>
    </w:p>
    <w:p>
      <w:pPr>
        <w:shd w:val="clear" w:color="auto" w:fill="auto"/>
        <w:spacing w:line="360" w:lineRule="auto"/>
        <w:jc w:val="left"/>
      </w:pPr>
      <w:r>
        <w:t>5．《南史》载：梁武帝喜集文士策经史事。在会策锦被（华丽被子）典故中，众人均说帝已举完。帝试问正在编《类苑》的刘峻，他列举出十余个，“帝不觉失色，自是恶之，不复引见。及峻《类苑》成，帝即命诸学士撰《华林编略》以高之。”可用于说明，当时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A．政治因素影响文化发展</w:t>
      </w:r>
      <w:r>
        <w:tab/>
      </w:r>
      <w:r>
        <w:t>B．专制统治钳制文化发展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C．南梁政权推行文化立国</w:t>
      </w:r>
      <w:r>
        <w:tab/>
      </w:r>
      <w:r>
        <w:t>D．知识分子崇尚功利主义</w:t>
      </w:r>
    </w:p>
    <w:p>
      <w:pPr>
        <w:shd w:val="clear" w:color="auto" w:fill="auto"/>
        <w:spacing w:line="360" w:lineRule="auto"/>
        <w:jc w:val="left"/>
      </w:pPr>
      <w:r>
        <w:t>6．唐朝时期，江南地区出现了操作方便的曲辕犁，但是在位于西北的敦煌壁画中，人们只发现了一幅唐朝曲辕犁的牛耕图，其他壁画中出现的依然是笨重的直辕犁，由此可推知敦煌地区（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A．地理环境影响农业生产</w:t>
      </w:r>
      <w:r>
        <w:tab/>
      </w:r>
      <w:r>
        <w:t>B．生产力发展水平大倒退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C．生产方式深受江南影响</w:t>
      </w:r>
      <w:r>
        <w:tab/>
      </w:r>
      <w:r>
        <w:t>D．牛耕技术很难推广使用</w:t>
      </w:r>
    </w:p>
    <w:p>
      <w:pPr>
        <w:shd w:val="clear" w:color="auto" w:fill="auto"/>
        <w:spacing w:line="360" w:lineRule="auto"/>
        <w:jc w:val="left"/>
      </w:pPr>
      <w:r>
        <w:t>7．唐德宗贞元八年（公元792年），陆贽知贡举时，得到好友补阙梁肃和郎中王杰“佐之”，在所录二十三名进士中，有八人为梁、王二人所推荐。因为这八人久负文才，极一时之选，被时人称为“龙虎榜”。这表明当时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A．传统选官观念犹存</w:t>
      </w:r>
      <w:r>
        <w:tab/>
      </w:r>
      <w:r>
        <w:t>B．官场贪污腐败盛行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C．世家大族垄断官场</w:t>
      </w:r>
      <w:r>
        <w:tab/>
      </w:r>
      <w:r>
        <w:t>D．官员主导科举结果</w:t>
      </w:r>
    </w:p>
    <w:p>
      <w:pPr>
        <w:shd w:val="clear" w:color="auto" w:fill="auto"/>
        <w:spacing w:line="360" w:lineRule="auto"/>
        <w:jc w:val="left"/>
      </w:pPr>
      <w:r>
        <w:t>8．魏晋时期出现了一种崇尚老庄的思潮，这一时期，一些士人面对严酷的社会现实，转而重视对《老子》《庄子》和《周易》“三玄”的研究。这种思潮称为“魏晋玄学”。“魏晋玄学”的出现（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A．是道教渐趋本土化的产物</w:t>
      </w:r>
      <w:r>
        <w:tab/>
      </w:r>
      <w:r>
        <w:t>B．使儒学丧失了正统地位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C．是逃避现实政治斗争在思想上的反映</w:t>
      </w:r>
      <w:r>
        <w:tab/>
      </w:r>
      <w:r>
        <w:t>D．使士人更加地崇尚实际</w:t>
      </w:r>
    </w:p>
    <w:p>
      <w:pPr>
        <w:shd w:val="clear" w:color="auto" w:fill="auto"/>
        <w:spacing w:line="360" w:lineRule="auto"/>
        <w:jc w:val="left"/>
      </w:pPr>
      <w:r>
        <w:t>9．北宋政权长期积贫积弱，1127年，宋徽宗，宋钦宗被俘，史称（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A．七国之乱</w:t>
      </w:r>
      <w:r>
        <w:tab/>
      </w:r>
      <w:r>
        <w:t>B．绍兴和议</w:t>
      </w:r>
      <w:r>
        <w:tab/>
      </w:r>
      <w:r>
        <w:t>C．靖康之变</w:t>
      </w:r>
      <w:r>
        <w:tab/>
      </w:r>
      <w:r>
        <w:t>D．安史之乱</w:t>
      </w:r>
    </w:p>
    <w:p>
      <w:pPr>
        <w:shd w:val="clear" w:color="auto" w:fill="auto"/>
        <w:spacing w:line="360" w:lineRule="auto"/>
        <w:jc w:val="left"/>
      </w:pPr>
      <w:r>
        <w:t>10．由于契丹等少数民族的生产生活水平、政治文明与汉族的有很大差别，因此，辽采取了南北面官制，即“两翼制”，官分南北，北面官治部族、属国，南面官治汉人州县。此种做法（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A．不利于各民族的交往与融合</w:t>
      </w:r>
      <w:r>
        <w:tab/>
      </w:r>
      <w:r>
        <w:t>B．使边疆管理呈现边内一体趋向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C．基本消除了各族之间的矛盾</w:t>
      </w:r>
      <w:r>
        <w:tab/>
      </w:r>
      <w:r>
        <w:t>D．体现“因俗而治”的治理特色</w:t>
      </w:r>
    </w:p>
    <w:p>
      <w:pPr>
        <w:shd w:val="clear" w:color="auto" w:fill="auto"/>
        <w:spacing w:line="360" w:lineRule="auto"/>
        <w:jc w:val="left"/>
      </w:pPr>
      <w:r>
        <w:t>11．据《中国科学史话》统计，中国历史上共产生状元700多名，但有明确著录籍贯的只有357名。下列四幅柱状图是中国古代四个历史时期（唐代、两宋、元代、明代）的科举状元籍贯部分统计。与这四个历史时期对应一致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171950" cy="1076325"/>
            <wp:effectExtent l="0" t="0" r="3810" b="571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        </w:t>
      </w:r>
      <w:r>
        <w:t>②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238625" cy="1076325"/>
            <wp:effectExtent l="0" t="0" r="13335" b="571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        </w:t>
      </w:r>
      <w:r>
        <w:t>④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A．②④③①</w:t>
      </w:r>
      <w:r>
        <w:tab/>
      </w:r>
      <w:r>
        <w:t>B．④①②③</w:t>
      </w:r>
      <w:r>
        <w:tab/>
      </w:r>
      <w:r>
        <w:t>C．②④①③</w:t>
      </w:r>
      <w:r>
        <w:tab/>
      </w:r>
      <w:r>
        <w:t>D．④③②①</w:t>
      </w:r>
    </w:p>
    <w:p>
      <w:pPr>
        <w:shd w:val="clear" w:color="auto" w:fill="auto"/>
        <w:spacing w:line="360" w:lineRule="auto"/>
        <w:jc w:val="left"/>
      </w:pPr>
      <w:r>
        <w:t>12．冯友兰先生认为"在三、四世纪间，曾有一批道家试图使道家思想靠近儒家思想"；"在十一、十二世纪间，也有一批儒家试图使儒家思想靠近道家思想"。对此理解正确的是（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jc w:val="left"/>
      </w:pPr>
      <w:r>
        <w:t>A．体现出中国古代思想的既"出世"又"入世"</w:t>
      </w:r>
    </w:p>
    <w:p>
      <w:pPr>
        <w:shd w:val="clear" w:color="auto" w:fill="auto"/>
        <w:spacing w:line="360" w:lineRule="auto"/>
        <w:jc w:val="left"/>
      </w:pPr>
      <w:r>
        <w:t>B．前者被称为“新儒家”，后者被称为“新道家”</w:t>
      </w:r>
    </w:p>
    <w:p>
      <w:pPr>
        <w:shd w:val="clear" w:color="auto" w:fill="auto"/>
        <w:spacing w:line="360" w:lineRule="auto"/>
        <w:jc w:val="left"/>
      </w:pPr>
      <w:r>
        <w:t>C．前者强调在政治上应当积极有为，为现实服务</w:t>
      </w:r>
    </w:p>
    <w:p>
      <w:pPr>
        <w:shd w:val="clear" w:color="auto" w:fill="auto"/>
        <w:spacing w:line="360" w:lineRule="auto"/>
        <w:jc w:val="left"/>
      </w:pPr>
      <w:r>
        <w:t>D．后者体现了古代朴素的唯物史观，要顺应自然</w:t>
      </w:r>
    </w:p>
    <w:p>
      <w:pPr>
        <w:shd w:val="clear" w:color="auto" w:fill="auto"/>
        <w:spacing w:line="360" w:lineRule="auto"/>
        <w:jc w:val="left"/>
      </w:pPr>
      <w:r>
        <w:t>13．1368年明朝建立,朱元璋称帝,定都应天府,国号大上明。其建立的时间可以表述为（　　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A．13世纪60年代</w:t>
      </w:r>
      <w:r>
        <w:tab/>
      </w:r>
      <w:r>
        <w:t>B．13世 纪70年代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C．14世纪60年代</w:t>
      </w:r>
      <w:r>
        <w:tab/>
      </w:r>
      <w:r>
        <w:t>D．14 世纪70年代</w:t>
      </w:r>
    </w:p>
    <w:p>
      <w:pPr>
        <w:shd w:val="clear" w:color="auto" w:fill="auto"/>
        <w:spacing w:line="360" w:lineRule="auto"/>
        <w:jc w:val="left"/>
      </w:pPr>
      <w:r>
        <w:t>14．清朝雍正时期在西南地区改土归流，实现了该地郡县化的管理；左宗棠收复新疆后，1884年新疆建省；1874年日本侵略台湾，1885年在台湾建省；1907年奉天、吉林、黑龙江改为行省，下设府、厅、州、县。这些举措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A．旨在应对列强国家的侵略</w:t>
      </w:r>
      <w:r>
        <w:tab/>
      </w:r>
      <w:r>
        <w:t>B．巩固了统一多民族国家疆域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C．表明清政府主权意识觉醒</w:t>
      </w:r>
      <w:r>
        <w:tab/>
      </w:r>
      <w:r>
        <w:t>D．实现了边疆内地一体化治理</w:t>
      </w:r>
    </w:p>
    <w:p>
      <w:pPr>
        <w:shd w:val="clear" w:color="auto" w:fill="auto"/>
        <w:spacing w:line="360" w:lineRule="auto"/>
        <w:jc w:val="left"/>
      </w:pPr>
      <w:r>
        <w:t>15．冯梦龙短篇小说“三言”大卖，激起了出版商野心。他们联系另一位通俗文学作家，凌初，于是《拍案惊奇》问世，市场一片叫好；书商见此，与凌商议，凌再次挥笔，写出《二刻拍案惊奇》。这反映了当时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A．商人文化眼光敏锐</w:t>
      </w:r>
      <w:r>
        <w:tab/>
      </w:r>
      <w:r>
        <w:t>B．短篇小说市场广阔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C．科举考试内容变化</w:t>
      </w:r>
      <w:r>
        <w:tab/>
      </w:r>
      <w:r>
        <w:t>D．市民阶层精神需求</w:t>
      </w:r>
    </w:p>
    <w:p>
      <w:pPr>
        <w:shd w:val="clear" w:color="auto" w:fill="auto"/>
        <w:tabs>
          <w:tab w:val="left" w:pos="4156"/>
        </w:tabs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二、材料分析题</w:t>
      </w:r>
    </w:p>
    <w:p>
      <w:pPr>
        <w:shd w:val="clear" w:color="auto" w:fill="auto"/>
        <w:spacing w:line="360" w:lineRule="auto"/>
        <w:jc w:val="left"/>
      </w:pPr>
      <w:r>
        <w:t>16．阅读材料，回答问题。</w:t>
      </w:r>
    </w:p>
    <w:p>
      <w:pPr>
        <w:shd w:val="clear" w:color="auto" w:fill="auto"/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 嬴政建立统一国家后，把战国时期逐步产生和发展起来的中央集权制度加以系统化完善化，并推行于全国，这一制度主要有三个环节构成，一是建立国家元首制度……二是成立中央政府机构…以协助皇帝领导全国军政事务；三是建立地方行政制度。此制的实行开创了此后两千多年历代王朝统治的基本模式。</w:t>
      </w:r>
    </w:p>
    <w:p>
      <w:pPr>
        <w:shd w:val="clear" w:color="auto" w:fill="auto"/>
        <w:spacing w:line="360" w:lineRule="auto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——摘编自袁行需等主编《中华文明史》</w:t>
      </w:r>
    </w:p>
    <w:p>
      <w:pPr>
        <w:shd w:val="clear" w:color="auto" w:fill="auto"/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 （汉初诸侯国）大者地跨数郡，其总地盘超出汉朝廷直辖郡县，汉武帝用主父偃之策，于元朔二年（前</w:t>
      </w:r>
      <w:r>
        <w:t>127</w:t>
      </w:r>
      <w:r>
        <w:rPr>
          <w:rFonts w:ascii="楷体" w:hAnsi="楷体" w:eastAsia="楷体" w:cs="楷体"/>
        </w:rPr>
        <w:t>年）允许并鼓励诸侯王“推私恩”，将王国土地再行分封给子弟为列侯。此举没有像削藩那样招致反抗，效果异曲同工，“不行黜陟，而藩国自析”。此后，又行“左官律”、“附益法”，规定王国官为“左官”以示歧视，又限士人与诸王“附益”交游。</w:t>
      </w:r>
    </w:p>
    <w:p>
      <w:pPr>
        <w:shd w:val="clear" w:color="auto" w:fill="auto"/>
        <w:spacing w:line="360" w:lineRule="auto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——摘编自张帆《中国古代简史》</w:t>
      </w:r>
    </w:p>
    <w:p>
      <w:pPr>
        <w:shd w:val="clear" w:color="auto" w:fill="auto"/>
        <w:spacing w:line="360" w:lineRule="auto"/>
        <w:jc w:val="left"/>
      </w:pPr>
      <w:r>
        <w:t>(1)根据材料一并结合所学，分别指出秦朝制度“三个环节”的具体名称，并简述秦朝制度建立的深远影响。</w:t>
      </w:r>
    </w:p>
    <w:p>
      <w:pPr>
        <w:shd w:val="clear" w:color="auto" w:fill="auto"/>
        <w:spacing w:line="360" w:lineRule="auto"/>
        <w:jc w:val="left"/>
      </w:pPr>
      <w:r>
        <w:t>(2)根据材料二并结合所学，概括指出汉武帝为应对中央集权面临的威胁而采取了哪些对策？</w:t>
      </w:r>
    </w:p>
    <w:p>
      <w:pPr>
        <w:shd w:val="clear" w:color="auto" w:fill="auto"/>
        <w:spacing w:line="360" w:lineRule="auto"/>
        <w:jc w:val="left"/>
      </w:pPr>
      <w:r>
        <w:t>17．在中国历史发展的不同时期，政治体制不尽相同。阅读材料，回答问题。</w:t>
      </w:r>
    </w:p>
    <w:p>
      <w:pPr>
        <w:shd w:val="clear" w:color="auto" w:fill="auto"/>
        <w:spacing w:line="360" w:lineRule="auto"/>
        <w:jc w:val="left"/>
        <w:rPr>
          <w:rFonts w:ascii="'Times New Roman'" w:hAnsi="'Times New Roman'" w:eastAsia="'Times New Roman'" w:cs="'Times New Roman'"/>
        </w:rPr>
      </w:pPr>
      <w:r>
        <w:rPr>
          <w:rFonts w:ascii="楷体" w:hAnsi="楷体" w:eastAsia="楷体" w:cs="楷体"/>
        </w:rPr>
        <w:t>材料一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楷体" w:hAnsi="楷体" w:eastAsia="楷体" w:cs="楷体"/>
        </w:rPr>
        <w:t>集议制度具有集思广益的长处，避免了个人思考的见事不周、偏执一端或墨守成规的弊病。许多负责具体事务的官员参与决策，汇集了来自各方面的情况，决策者们就能较为准确迅速地了解信息，掌握动向，避免颁布错误的政令，……年轻的低级官员参与议政，给政事堂会议带来了生气和活力，给封建政治带来了新气象。政事堂合三省首长议事，减化了颁行的手续，从而政令制订迅速，执行便捷，提高了行政效率。</w:t>
      </w:r>
    </w:p>
    <w:p>
      <w:pPr>
        <w:shd w:val="clear" w:color="auto" w:fill="auto"/>
        <w:spacing w:line="360" w:lineRule="auto"/>
        <w:ind w:firstLine="420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——摘引魏向东《试论唐代政事堂宰相集议制度》</w:t>
      </w:r>
    </w:p>
    <w:p>
      <w:pPr>
        <w:shd w:val="clear" w:color="auto" w:fill="auto"/>
        <w:spacing w:line="360" w:lineRule="auto"/>
        <w:jc w:val="left"/>
        <w:rPr>
          <w:rFonts w:ascii="'Times New Roman'" w:hAnsi="'Times New Roman'" w:eastAsia="'Times New Roman'" w:cs="'Times New Roman'"/>
        </w:rPr>
      </w:pPr>
      <w:r>
        <w:rPr>
          <w:rFonts w:ascii="楷体" w:hAnsi="楷体" w:eastAsia="楷体" w:cs="楷体"/>
        </w:rPr>
        <w:t>材料二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楷体" w:hAnsi="楷体" w:eastAsia="楷体" w:cs="楷体"/>
        </w:rPr>
        <w:t>时军机之权，独峙于上，国家兴大兵役，特简经略大臣、参赞大臣，亲寄军要。……厥后海疆衅起，经略才望稍爽，权力渐微。粤难纠纷，首相督师，屡债厥事，朝廷间用督抚董戎，多不辱命，犹复不制以文法，故能霈施魄力，自是权又移于督抚。同治中兴，光绪还都，皆其力也。</w:t>
      </w:r>
    </w:p>
    <w:p>
      <w:pPr>
        <w:shd w:val="clear" w:color="auto" w:fill="auto"/>
        <w:spacing w:line="360" w:lineRule="auto"/>
        <w:ind w:firstLine="420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——引自赵尔巽《清史稿》</w:t>
      </w:r>
    </w:p>
    <w:p>
      <w:pPr>
        <w:shd w:val="clear" w:color="auto" w:fill="auto"/>
        <w:spacing w:line="360" w:lineRule="auto"/>
        <w:jc w:val="left"/>
        <w:rPr>
          <w:rFonts w:ascii="'Times New Roman'" w:hAnsi="'Times New Roman'" w:eastAsia="'Times New Roman'" w:cs="'Times New Roman'"/>
        </w:rPr>
      </w:pPr>
      <w:r>
        <w:rPr>
          <w:rFonts w:ascii="楷体" w:hAnsi="楷体" w:eastAsia="楷体" w:cs="楷体"/>
        </w:rPr>
        <w:t>材料三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楷体" w:hAnsi="楷体" w:eastAsia="楷体" w:cs="楷体"/>
        </w:rPr>
        <w:t>民初，中国社会成立的政党和类似政党的政治团体大约有300多个。有人称这一时期为“政党林立的时代”。……针对这一历史现象，梁启超在给袁世凯的信中讲到：“今国中出没政界之士，可略分为三派。一曰旧官僚派，二曰旧立宪派，三曰旧革命派。……政府惟有利用健全之大政党，使为公正之党争，彼自归于劣败，不足为梗也。”</w:t>
      </w:r>
    </w:p>
    <w:p>
      <w:pPr>
        <w:shd w:val="clear" w:color="auto" w:fill="auto"/>
        <w:spacing w:line="360" w:lineRule="auto"/>
        <w:ind w:firstLine="420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——据谢彬《民国政党史》等整理</w:t>
      </w:r>
    </w:p>
    <w:p>
      <w:pPr>
        <w:shd w:val="clear" w:color="auto" w:fill="auto"/>
        <w:spacing w:line="360" w:lineRule="auto"/>
        <w:jc w:val="left"/>
      </w:pPr>
      <w:r>
        <w:t>(1)阅读材料一，概括政事堂设立后的决策优势。结合所学，阐述为加强君主专制，中枢机构在宋朝的演变概况。</w:t>
      </w:r>
    </w:p>
    <w:p>
      <w:pPr>
        <w:shd w:val="clear" w:color="auto" w:fill="auto"/>
        <w:spacing w:line="360" w:lineRule="auto"/>
        <w:jc w:val="left"/>
      </w:pPr>
      <w:r>
        <w:t>(2)阅读材料二，结合所学，从军机处决策机制的角度简述“军机之权，独峙于上”的观点，试分别从太平天国和八国联军侵华两个时期分析“权移于督抚”对清朝造成的影响。</w:t>
      </w:r>
    </w:p>
    <w:p>
      <w:pPr>
        <w:shd w:val="clear" w:color="auto" w:fill="auto"/>
        <w:spacing w:line="360" w:lineRule="auto"/>
        <w:jc w:val="left"/>
        <w:rPr>
          <w:rFonts w:ascii="黑体" w:hAnsi="黑体" w:eastAsia="黑体" w:cs="黑体"/>
          <w:b/>
          <w:sz w:val="30"/>
        </w:rPr>
      </w:pPr>
      <w:r>
        <w:t>(3)根据材料三，结合所学，概述“政党林立”这一历史现象，分析此后袁世凯对“健全之大政党，使为公正之党争”这一建议所采取的举措。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三、论述题</w:t>
      </w:r>
    </w:p>
    <w:p>
      <w:pPr>
        <w:shd w:val="clear" w:color="auto" w:fill="auto"/>
        <w:spacing w:line="360" w:lineRule="auto"/>
        <w:jc w:val="left"/>
      </w:pPr>
      <w:r>
        <w:t>18．阅读材料，回答问题。</w:t>
      </w:r>
    </w:p>
    <w:p>
      <w:pPr>
        <w:shd w:val="clear" w:color="auto" w:fill="auto"/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3619500" cy="2847975"/>
            <wp:effectExtent l="0" t="0" r="7620" b="190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——据《中外历史纲要》上册地图册</w:t>
      </w:r>
    </w:p>
    <w:p>
      <w:pPr>
        <w:shd w:val="clear" w:color="auto" w:fill="auto"/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</w:rPr>
        <w:t>相对而言，物质文化是基础。离开物质文化，制度文化和精神文化则不能存在，更不可能发展：物质文化的进步，为制度文化、精神文化的发展提供了有力的保障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</w:rPr>
        <w:t>同时，物质文化发达，精神文化先进，制度文化也必然进步</w:t>
      </w:r>
      <w:r>
        <w:t>b</w:t>
      </w:r>
      <w:r>
        <w:rPr>
          <w:rFonts w:ascii="楷体" w:hAnsi="楷体" w:eastAsia="楷体" w:cs="楷体"/>
        </w:rPr>
        <w:t>。健全的、合理的、规范的制度 不是随便制定出来的，主要就是看其对物质文化、精神文化的保障作用大小。</w:t>
      </w:r>
    </w:p>
    <w:p>
      <w:pPr>
        <w:shd w:val="clear" w:color="auto" w:fill="auto"/>
        <w:spacing w:line="360" w:lineRule="auto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——摘编自周正刚《文化哲学论》</w:t>
      </w:r>
    </w:p>
    <w:p>
      <w:pPr>
        <w:shd w:val="clear" w:color="auto" w:fill="auto"/>
        <w:spacing w:line="360" w:lineRule="auto"/>
        <w:jc w:val="left"/>
      </w:pPr>
      <w:r>
        <w:t>结合材料—《辽宋夏金元部分文化成果示意图》的相关信息分析说明材料二的观点</w:t>
      </w:r>
    </w:p>
    <w:p>
      <w:pPr>
        <w:shd w:val="clear" w:color="auto" w:fill="auto"/>
        <w:spacing w:line="360" w:lineRule="auto"/>
        <w:jc w:val="left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pgNumType w:fmt="decimal"/>
          <w:cols w:space="425" w:num="1" w:sep="1"/>
          <w:docGrid w:type="lines" w:linePitch="312" w:charSpace="0"/>
        </w:sect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参考答案：</w:t>
      </w:r>
    </w:p>
    <w:p>
      <w:pPr>
        <w:shd w:val="clear" w:color="auto" w:fill="auto"/>
        <w:spacing w:line="360" w:lineRule="auto"/>
        <w:jc w:val="left"/>
      </w:pPr>
      <w:r>
        <w:t>1．D</w:t>
      </w:r>
      <w:r>
        <w:rPr>
          <w:rFonts w:hint="eastAsia"/>
          <w:lang w:val="en-US" w:eastAsia="zh-CN"/>
        </w:rPr>
        <w:t xml:space="preserve">  </w:t>
      </w:r>
      <w:r>
        <w:t>2．B</w:t>
      </w:r>
      <w:r>
        <w:rPr>
          <w:rFonts w:hint="eastAsia"/>
          <w:lang w:val="en-US" w:eastAsia="zh-CN"/>
        </w:rPr>
        <w:t xml:space="preserve">  </w:t>
      </w:r>
      <w:r>
        <w:t>3．D</w:t>
      </w:r>
      <w:r>
        <w:rPr>
          <w:rFonts w:hint="eastAsia"/>
          <w:lang w:val="en-US" w:eastAsia="zh-CN"/>
        </w:rPr>
        <w:t xml:space="preserve">   </w:t>
      </w:r>
      <w:r>
        <w:t>4．C</w:t>
      </w:r>
      <w:r>
        <w:rPr>
          <w:rFonts w:hint="eastAsia"/>
          <w:lang w:val="en-US" w:eastAsia="zh-CN"/>
        </w:rPr>
        <w:t xml:space="preserve">  </w:t>
      </w:r>
      <w:r>
        <w:t>5．A</w:t>
      </w:r>
    </w:p>
    <w:p>
      <w:pPr>
        <w:shd w:val="clear" w:color="auto" w:fill="auto"/>
        <w:spacing w:line="360" w:lineRule="auto"/>
        <w:jc w:val="left"/>
      </w:pPr>
      <w:r>
        <w:t>6．A</w:t>
      </w:r>
      <w:r>
        <w:rPr>
          <w:rFonts w:hint="eastAsia"/>
          <w:lang w:val="en-US" w:eastAsia="zh-CN"/>
        </w:rPr>
        <w:t xml:space="preserve">  </w:t>
      </w:r>
      <w:r>
        <w:t>7．A</w:t>
      </w:r>
      <w:r>
        <w:rPr>
          <w:rFonts w:hint="eastAsia"/>
          <w:lang w:val="en-US" w:eastAsia="zh-CN"/>
        </w:rPr>
        <w:t xml:space="preserve">  </w:t>
      </w:r>
      <w:r>
        <w:t>8．C</w:t>
      </w:r>
      <w:r>
        <w:rPr>
          <w:rFonts w:hint="eastAsia"/>
          <w:lang w:val="en-US" w:eastAsia="zh-CN"/>
        </w:rPr>
        <w:t xml:space="preserve">  </w:t>
      </w:r>
      <w:r>
        <w:t>9．C</w:t>
      </w:r>
      <w:r>
        <w:rPr>
          <w:rFonts w:hint="eastAsia"/>
          <w:lang w:val="en-US" w:eastAsia="zh-CN"/>
        </w:rPr>
        <w:t xml:space="preserve">  </w:t>
      </w:r>
      <w:r>
        <w:t>10．D</w:t>
      </w:r>
    </w:p>
    <w:p>
      <w:pPr>
        <w:shd w:val="clear" w:color="auto" w:fill="auto"/>
        <w:spacing w:line="360" w:lineRule="auto"/>
        <w:jc w:val="left"/>
      </w:pPr>
      <w:r>
        <w:t>11．B</w:t>
      </w:r>
      <w:r>
        <w:rPr>
          <w:rFonts w:hint="eastAsia"/>
          <w:lang w:val="en-US" w:eastAsia="zh-CN"/>
        </w:rPr>
        <w:t xml:space="preserve">  </w:t>
      </w:r>
      <w:r>
        <w:t>12．A</w:t>
      </w:r>
      <w:r>
        <w:rPr>
          <w:rFonts w:hint="eastAsia"/>
          <w:lang w:val="en-US" w:eastAsia="zh-CN"/>
        </w:rPr>
        <w:t xml:space="preserve">  </w:t>
      </w:r>
      <w:r>
        <w:t>13．C</w:t>
      </w:r>
      <w:r>
        <w:rPr>
          <w:rFonts w:hint="eastAsia"/>
          <w:lang w:val="en-US" w:eastAsia="zh-CN"/>
        </w:rPr>
        <w:t xml:space="preserve">  </w:t>
      </w:r>
      <w:r>
        <w:t>14．B</w:t>
      </w:r>
      <w:r>
        <w:rPr>
          <w:rFonts w:hint="eastAsia"/>
          <w:lang w:val="en-US" w:eastAsia="zh-CN"/>
        </w:rPr>
        <w:t xml:space="preserve">  </w:t>
      </w:r>
      <w:r>
        <w:t>15．D</w:t>
      </w:r>
    </w:p>
    <w:p>
      <w:pPr>
        <w:shd w:val="clear" w:color="auto" w:fill="auto"/>
        <w:spacing w:line="360" w:lineRule="auto"/>
        <w:jc w:val="left"/>
      </w:pPr>
      <w:r>
        <w:t>16．(1)名称：皇帝制度，三公九卿制，郡县制。</w:t>
      </w:r>
    </w:p>
    <w:p>
      <w:pPr>
        <w:shd w:val="clear" w:color="auto" w:fill="auto"/>
        <w:spacing w:line="360" w:lineRule="auto"/>
        <w:jc w:val="left"/>
      </w:pPr>
      <w:r>
        <w:t>影响：秦朝确立的政治制度被以后的王朝长期沿用；奠定了大一统中央集权国家治理的基本模式。</w:t>
      </w:r>
    </w:p>
    <w:p>
      <w:pPr>
        <w:shd w:val="clear" w:color="auto" w:fill="auto"/>
        <w:spacing w:line="360" w:lineRule="auto"/>
        <w:jc w:val="left"/>
      </w:pPr>
      <w:r>
        <w:t>(2)对策：颁布“推恩令”，削弱王国实力；降低王国官员地位；限制士人与诸王交往。</w:t>
      </w:r>
    </w:p>
    <w:p>
      <w:pPr>
        <w:shd w:val="clear" w:color="auto" w:fill="auto"/>
        <w:spacing w:line="360" w:lineRule="auto"/>
        <w:jc w:val="left"/>
      </w:pPr>
      <w:r>
        <w:t>17．(1)优势：有利于集思广益、科学决策；提高了工作效率；年轻官员的参与给封建政治带来新气象；三省出现了一体化的趋势，有利于决策执行。</w:t>
      </w:r>
    </w:p>
    <w:p>
      <w:pPr>
        <w:shd w:val="clear" w:color="auto" w:fill="auto"/>
        <w:spacing w:line="360" w:lineRule="auto"/>
        <w:jc w:val="left"/>
      </w:pPr>
      <w:r>
        <w:t>概况：最高行政长官是同中书门下平章事，为宰相之职；设参知政事为副相；设枢密院掌管军政；三司掌握财政大权。</w:t>
      </w:r>
    </w:p>
    <w:p>
      <w:pPr>
        <w:shd w:val="clear" w:color="auto" w:fill="auto"/>
        <w:spacing w:line="360" w:lineRule="auto"/>
        <w:jc w:val="left"/>
      </w:pPr>
      <w:r>
        <w:t>(2)观点：军机处官员在皇帝直接监督下工作，日夜轮流值班，商议军情，起草或处机要文书。(或军机大臣直接秉承皇帝旨意，处理军国大事。)</w:t>
      </w:r>
    </w:p>
    <w:p>
      <w:pPr>
        <w:shd w:val="clear" w:color="auto" w:fill="auto"/>
        <w:spacing w:line="360" w:lineRule="auto"/>
        <w:jc w:val="left"/>
      </w:pPr>
      <w:r>
        <w:t>影响：太平天国时期：随着湘淮系官僚集团的崛起，造成中央权力下移。八国联军侵华时期：南方各省督抚与英、美等国洽商“东南互保”协议，严重动摇了清政府统治的根基。</w:t>
      </w:r>
    </w:p>
    <w:p>
      <w:pPr>
        <w:shd w:val="clear" w:color="auto" w:fill="auto"/>
        <w:spacing w:line="360" w:lineRule="auto"/>
        <w:jc w:val="left"/>
      </w:pPr>
      <w:r>
        <w:t>(3)现象：辛亥革命后，专制政权的土崩瓦解，各类政党、社团纷纷建立，各派政治力量迅速分化和重组；民初，中国社会成立的政党和类似政党的政治团体大约有300多个；宋教仁在北京改组国民党，并于1913年在全国选举中获得参议院和众议院最多席位，成为国会中最大党派。</w:t>
      </w:r>
    </w:p>
    <w:p>
      <w:pPr>
        <w:shd w:val="clear" w:color="auto" w:fill="auto"/>
        <w:spacing w:line="360" w:lineRule="auto"/>
        <w:jc w:val="left"/>
      </w:pPr>
      <w:r>
        <w:t>举措：镇压二次革命后，袁世凯就任大总统：随后先后下令解散了国民党和国会。</w:t>
      </w:r>
    </w:p>
    <w:p>
      <w:pPr>
        <w:shd w:val="clear" w:color="auto" w:fill="auto"/>
        <w:spacing w:line="360" w:lineRule="auto"/>
        <w:jc w:val="left"/>
      </w:pPr>
      <w:r>
        <w:t>18．示例</w:t>
      </w:r>
    </w:p>
    <w:p>
      <w:pPr>
        <w:shd w:val="clear" w:color="auto" w:fill="auto"/>
        <w:spacing w:line="360" w:lineRule="auto"/>
        <w:jc w:val="left"/>
      </w:pPr>
      <w:r>
        <w:t>观点：物质文化的进步，为制度文化和精神文化的发展提供了有力的保障。</w:t>
      </w:r>
    </w:p>
    <w:p>
      <w:pPr>
        <w:shd w:val="clear" w:color="auto" w:fill="auto"/>
        <w:spacing w:line="360" w:lineRule="auto"/>
        <w:jc w:val="left"/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797" w:bottom="1440" w:left="1797" w:header="851" w:footer="992" w:gutter="0"/>
          <w:pgNumType w:fmt="decimal" w:start="1"/>
          <w:cols w:space="425" w:num="1"/>
          <w:docGrid w:type="lines" w:linePitch="312" w:charSpace="0"/>
        </w:sectPr>
      </w:pPr>
      <w:r>
        <w:t>说明：辽宋夏金元时期，商品经济的发展为这一时期文化的发展提供了物质基础，适应市民阶层精神需要的世俗文化快速发展；而经济重心南移的完成也带动了南方地区文化的发展，南方日益成为文化中心；宋代发展并完善了科举制度，重文轻武的政策带动了思想文化的繁荣，这一时期书院的勃兴正是其见证。辽宋夏金元时期，边境贸易和经济交流频繁，文化的发展在于其对传统文化的继承，程朱理学对传统儒学进行了重新阐发，使其重新焕发活力，而不同民族文化间的交流为华夏文明增添了新的色彩。（“示例”仅供参考，其他答案言之有理亦可）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5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Tc0ZTE1Y2JjNWEwZDA2ODcxZmNhZTAxZGM1NmI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C07DE"/>
    <w:rsid w:val="00A30CCE"/>
    <w:rsid w:val="00AC3E9C"/>
    <w:rsid w:val="00BC4F14"/>
    <w:rsid w:val="00BF535F"/>
    <w:rsid w:val="00C02FC6"/>
    <w:rsid w:val="00C806B0"/>
    <w:rsid w:val="00E476EE"/>
    <w:rsid w:val="00E625AB"/>
    <w:rsid w:val="00EF035E"/>
    <w:rsid w:val="3C8D7A7C"/>
    <w:rsid w:val="72834B9C"/>
    <w:rsid w:val="760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49"/>
    <customShpInfo spid="_x0000_s2052"/>
    <customShpInfo spid="_x0000_s2053"/>
    <customShpInfo spid="_x0000_s2054"/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4148</Words>
  <Characters>4268</Characters>
  <DocSecurity>0</DocSecurity>
  <Lines>0</Lines>
  <Paragraphs>0</Paragraphs>
  <ScaleCrop>false</ScaleCrop>
  <LinksUpToDate>false</LinksUpToDate>
  <CharactersWithSpaces>4481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terms:modified xsi:type="dcterms:W3CDTF">2022-12-21T02:30:20Z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91100D3663F147EF8A8E9FDB3B83F28D</vt:lpwstr>
  </property>
</Properties>
</file>