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12230100</wp:posOffset>
            </wp:positionV>
            <wp:extent cx="393700" cy="381000"/>
            <wp:effectExtent l="0" t="0" r="6350" b="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30"/>
          <w:szCs w:val="30"/>
        </w:rPr>
        <w:t>部编版中外历史纲要</w:t>
      </w:r>
      <w:r>
        <w:rPr>
          <w:rFonts w:hint="eastAsia" w:ascii="黑体" w:hAnsi="黑体" w:eastAsia="黑体" w:cs="黑体"/>
          <w:b/>
          <w:sz w:val="30"/>
          <w:szCs w:val="30"/>
          <w:lang w:eastAsia="zh-CN"/>
        </w:rPr>
        <w:t>（</w:t>
      </w: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上</w:t>
      </w:r>
      <w:r>
        <w:rPr>
          <w:rFonts w:hint="eastAsia" w:ascii="黑体" w:hAnsi="黑体" w:eastAsia="黑体" w:cs="黑体"/>
          <w:b/>
          <w:sz w:val="30"/>
          <w:szCs w:val="30"/>
          <w:lang w:eastAsia="zh-CN"/>
        </w:rPr>
        <w:t>）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第9课《两宋的政治和军事》教学设计</w:t>
      </w:r>
    </w:p>
    <w:p>
      <w:pPr>
        <w:spacing w:line="360" w:lineRule="auto"/>
        <w:jc w:val="center"/>
        <w:rPr>
          <w:rFonts w:hint="default" w:ascii="黑体" w:hAnsi="黑体" w:eastAsia="黑体" w:cs="黑体"/>
          <w:b/>
          <w:sz w:val="30"/>
          <w:szCs w:val="30"/>
          <w:lang w:val="en-US" w:eastAsia="zh-CN"/>
        </w:rPr>
      </w:pPr>
    </w:p>
    <w:tbl>
      <w:tblPr>
        <w:tblStyle w:val="5"/>
        <w:tblW w:w="93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7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7512" w:type="dxa"/>
            <w:vAlign w:val="center"/>
          </w:tcPr>
          <w:p>
            <w:pPr>
              <w:spacing w:line="360" w:lineRule="auto"/>
              <w:jc w:val="left"/>
              <w:rPr>
                <w:rStyle w:val="11"/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两宋的政治和军事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教学目标</w:t>
            </w:r>
          </w:p>
        </w:tc>
        <w:tc>
          <w:tcPr>
            <w:tcW w:w="7512" w:type="dxa"/>
            <w:vAlign w:val="center"/>
          </w:tcPr>
          <w:p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Style w:val="11"/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bidi="en-US"/>
              </w:rPr>
              <w:t>1、</w:t>
            </w: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唯物史观：通过学习北宋加强中央集权的措施带来的利弊，培养学生全面分析历史事物、一分为二的辩证思维。</w:t>
            </w:r>
          </w:p>
          <w:p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2、时空观念：通过时间轴认识两宋的时空定位，通过疆域图认识两宋的地理位置和政权形式，培养学生时空观念。</w:t>
            </w:r>
          </w:p>
          <w:p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3、史料实证：通过展示及读取文物图片等资料信息，培养学生史料实证。</w:t>
            </w:r>
          </w:p>
          <w:p>
            <w:pPr>
              <w:spacing w:line="360" w:lineRule="auto"/>
              <w:jc w:val="left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4、历史解释：学生通过对两宋演变的历史背景分析，培养学生历史解释素养。</w:t>
            </w:r>
          </w:p>
          <w:p>
            <w:pPr>
              <w:spacing w:line="360" w:lineRule="auto"/>
              <w:jc w:val="left"/>
              <w:rPr>
                <w:rStyle w:val="11"/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bidi="en-US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5、家国情怀：通过学习宋朝的士大夫精神，以及两宋文臣武将中的杰出代表：范仲淹、王安石、岳飞、文天祥等的爱国史实，培养学生的社会责任感、家国情怀。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教学重点</w:t>
            </w:r>
          </w:p>
        </w:tc>
        <w:tc>
          <w:tcPr>
            <w:tcW w:w="7512" w:type="dxa"/>
            <w:vAlign w:val="center"/>
          </w:tcPr>
          <w:p>
            <w:pPr>
              <w:spacing w:line="360" w:lineRule="auto"/>
              <w:rPr>
                <w:rStyle w:val="11"/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宋初中央集权的加强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教学难点</w:t>
            </w:r>
          </w:p>
        </w:tc>
        <w:tc>
          <w:tcPr>
            <w:tcW w:w="7512" w:type="dxa"/>
            <w:vAlign w:val="center"/>
          </w:tcPr>
          <w:p>
            <w:pPr>
              <w:spacing w:line="360" w:lineRule="auto"/>
              <w:rPr>
                <w:rStyle w:val="11"/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宋初中央集权的加强、王安石变法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教学准备</w:t>
            </w:r>
          </w:p>
        </w:tc>
        <w:tc>
          <w:tcPr>
            <w:tcW w:w="7512" w:type="dxa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1、教师准备：多媒体、黑板、粉笔、课件</w:t>
            </w:r>
          </w:p>
          <w:p>
            <w:pPr>
              <w:spacing w:line="360" w:lineRule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2、学生准备：课前预习、笔记本、教材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8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教学过程</w:t>
            </w:r>
          </w:p>
        </w:tc>
        <w:tc>
          <w:tcPr>
            <w:tcW w:w="7512" w:type="dxa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热身活动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阅读单元导读内容，了解本单元学习内容和学习目标，预习第九课两宋的政治和军事。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ascii="微软雅黑" w:hAnsi="微软雅黑" w:eastAsia="微软雅黑" w:cs="微软雅黑"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二、新课导入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引入材料：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  <w:t>“</w:t>
            </w: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宋朝内政最腐朽，外患最强烈，成为历史上怯弱可耻的一个朝代。”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 xml:space="preserve">                  </w:t>
            </w: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——范文澜《中国通史简编》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 xml:space="preserve">“华夏民族之文化， 历数千载之演进，造极于赵宋之世。后渐衰微，终必复振。”     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——陈寅恪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师：提出设问宋朝到底是一个怎样的朝代？今天我们就一起走近宋朝，了解一下两宋的政治和军事。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（设计意图：史料引入，培养学生史料实证观念；设置问题，激发学生学习兴趣。）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新知探究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（一）防弊：加强中央集权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1、背景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教师：五代时期，天子“兵强马壮者为之”，中原王朝更迭频繁。960年，后周禁军统帅赵匡胤发动兵变夺取帝位，建立宋朝，定都东京，史称北宋。赵匡胤就是宋太祖。新政权结束了五代十国分裂局面，形成长时间的稳定统治。对于靠谋反上位的宋太祖赵匡胤而言，江山易得，皇帝难做。所以新朝建立后，宋太祖非常担心重蹈覆辙，就绞尽脑汁思考如何维护国家统治。图为明朝人绘制的《雪夜访普图》，就描绘了宋太祖与谋士赵普筹划统一方略的场景。教师展示材料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赵匡胤：天下自唐季以来数十年间，帝王凡易八姓，战争不息，生民涂地，其故何也？吾欲息天下之兵，为国家长久之计，其道何故？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赵普：此无他故，方镇太重，君弱臣强而已。今所以治之，亦无他奇巧，稍夺其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权，制其钱谷，收其精兵，则天下自安矣。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教师:根据宋太祖赵匡胤和宰相赵普的对话，你能发现新建立的宋朝面临着什么问题？应该如何解决这些问题呢？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学生预期回答：问题：方镇太重、君弱臣强、武将专权。解决方法：稍夺其权、制其钱谷、收其精兵。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2、措施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教师：针对这一些列遗存问题，宋太祖有针对性地采取了一系列强化中央集权、维护政权稳定的措施。现在请同学们阅读课本49-50页内容，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找出北宋为了加强中央集权采取了哪些措施？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学生预期回答：略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（1）方镇太重—削弱地方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119380</wp:posOffset>
                      </wp:positionV>
                      <wp:extent cx="335915" cy="1028700"/>
                      <wp:effectExtent l="0" t="4445" r="14605" b="18415"/>
                      <wp:wrapNone/>
                      <wp:docPr id="2" name="右大括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7945" y="4284345"/>
                                <a:ext cx="335915" cy="10287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8" type="#_x0000_t88" style="position:absolute;left:0pt;margin-left:266.6pt;margin-top:9.4pt;height:81pt;width:26.45pt;z-index:251660288;mso-width-relative:page;mso-height-relative:page;" filled="f" stroked="t" coordsize="21600,21600" o:gfxdata="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YuQgLaAAAACgEAAA8AAAAAAAAAAQAgAAAA&#10;IgAAAGRycy9kb3ducmV2LnhtbFBLAQIUABQAAAAIAIdO4kA15r4QCQIAAOcDAAAOAAAAAAAAAAEA&#10;IAAAACkBAABkcnMvZTJvRG9jLnhtbFBLBQYAAAAABgAGAFkBAACkBQAAAAA=&#10;" adj="587,10800">
                      <v:fill on="f" focussize="0,0"/>
                      <v:stroke color="#4A7EBB [32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行政上，派文官担任地方知州，节度使转化为虚职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财政上，设转运司管地方财政，大部分赋税上交中央       收权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军政上，地方精兵编入禁军定期更驻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74295</wp:posOffset>
                      </wp:positionV>
                      <wp:extent cx="274320" cy="664210"/>
                      <wp:effectExtent l="0" t="4445" r="15240" b="17145"/>
                      <wp:wrapNone/>
                      <wp:docPr id="3" name="右大括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66421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8" type="#_x0000_t88" style="position:absolute;left:0pt;margin-left:326pt;margin-top:5.85pt;height:52.3pt;width:21.6pt;z-index:251661312;mso-width-relative:page;mso-height-relative:page;" filled="f" stroked="t" coordsize="21600,21600" o:gfxdata="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V6kAdcAAAAKAQAADwAAAAAAAAABACAAAAAiAAAAZHJzL2Rvd25yZXYu&#10;eG1sUEsBAhQAFAAAAAgAh07iQN0tjEb8AQAA2gMAAA4AAAAAAAAAAQAgAAAAJgEAAGRycy9lMm9E&#10;b2MueG1sUEsFBgAAAAAGAAYAWQEAAJQFAAAAAA==&#10;" adj="743,10800">
                      <v:fill on="f" focussize="0,0"/>
                      <v:stroke color="#4A7EBB [32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设立平行的四个路级机构合称四监司，从不同方面对各州进行监控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 xml:space="preserve">    分权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州一级增设通判，与知州共同签署文书，彼此制约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inline distT="0" distB="0" distL="114300" distR="114300">
                  <wp:extent cx="2872740" cy="2386330"/>
                  <wp:effectExtent l="0" t="0" r="7620" b="635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君弱臣强—分散相权、加强皇权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3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军事上，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设枢密院分割宰相军权，并与“三衙”互相牵制，实现统兵权与调兵权的分离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财政上，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设三司分割宰相财政权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行政上，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增设参知政事为副相，分割宰相行政权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drawing>
                <wp:inline distT="0" distB="0" distL="114300" distR="114300">
                  <wp:extent cx="3620135" cy="1869440"/>
                  <wp:effectExtent l="0" t="0" r="6985" b="5080"/>
                  <wp:docPr id="6" name="图片 3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:北宋实行的这一套中央权力机制，我们又把它称为二府三司制。而在上一节课我们还学习了唐朝的三省六部制，同样也是主张分散相权，加强中央集权。那么唐代三省六部制与宋代二府三司制分散相权的方式有什么区别？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学生预期回答：唐：程序分权（草拟、审核、执行）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宋：领域分权（行政、财政、军政）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（3）武将专权—崇文抑武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崇文：倡行文治，扩大科举规模，抬高文官士人地位。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抑武：罢免宿将兵权，用文官担任枢密院长官。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教师：展示相关史料。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北宋的崇文抑武方针，主要是为了压制武将，防止武将跋扈，但不是轻视武备乃至军队。事实上，宋朝对军队是极为重视的，每年的军费开支约占财政支出的70%、80%左右。军队最多的时候达到120万。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材料：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inline distT="0" distB="0" distL="114300" distR="114300">
                  <wp:extent cx="2972435" cy="1284605"/>
                  <wp:effectExtent l="0" t="0" r="14605" b="1079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书中自有颜如玉，书中自有黄金屋——宋真宗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教师：通过宋朝加强中央集权的措施的学习与分析，请同学们归纳出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北宋加强中央集权的特点。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学生预期回答：强干弱枝、守内虚外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 xml:space="preserve">              分化事权、内外相制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890" w:firstLineChars="9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重文轻武、文人治国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>古人云：成也萧何，败也萧何；得于斯，毁于斯。宋朝虽然在加强中央集权专制主义方面非常成功，但是这些措施也有非常严重的副作用。请大家根据材料并阅读课本思考宋朝的集权措施有哪些负面影响？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 xml:space="preserve">材料：唯本朝之法，上下相维，轻重相制，如身之使臂，臂之使指。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040" w:firstLineChars="240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>——范祖禹《范太史集》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 xml:space="preserve">本朝鉴五代藩镇之弊，遂尽夺藩镇之权。兵也收了，财也收了，赏罚刑政，一切收了，州郡遂日就困弱，靖康之役，虏骑所过，莫不散。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 xml:space="preserve">                                                  ——《朱子语类》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 xml:space="preserve"> 夫当仁宗四十二年，号为本朝至平极盛之世也，而财用始大乏，天下之论扰扰，皆以财为虑矣。                        ——叶适《应诏条奏财总论》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学生预期回答：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积极：强化中央集权，巩固了国家的统一和安定。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消极：制度僵化，效率低下，助长因循守旧的政治风气；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重文轻武，守内虚外，造成北宋长期积弱局面；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官僚机构膨胀和军队扩充，形成了冗官、冗兵和冗费的积贫局面。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过度集权反而使得宋朝陷入危机。随着政府机构的增多，官僚系统日渐庞杂，官员数量众多，财政负担加重。同时，机构职能交叉，权责不清，遇事推诿，行政效率降低。如此一来，为宋朝积贫积弱埋下了伏笔，致使宋朝外难御辽夏虎狼之师——边防压力，内不支朝廷财政之需——财政危机。下面我们具体来看一下北宋的财政危机和边防压力有哪些？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（二）新弊：危边防财政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教师：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课件展示《辽、北宋、西夏形势图》以及澶渊之盟和宋夏合议的内容，并向学生解释这两个事件。并由此带领学生总结北宋面临的统治危机。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drawing>
                <wp:inline distT="0" distB="0" distL="114300" distR="114300">
                  <wp:extent cx="2298700" cy="1875790"/>
                  <wp:effectExtent l="0" t="0" r="2540" b="13970"/>
                  <wp:docPr id="8" name="图片 5" descr="www.zq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www.zqy.com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积弱——边防压力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（1）北宋与辽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①北宋两次夺取燕云十六州失利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②澶渊之盟：兄弟相称；“岁币”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（2）北宋与西夏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庆历和议：西夏向北宋称臣；但保持帝号；“岁赐”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教师：设置问题探究，我们换个视角看问题，北宋这种“以钱财换和平”的做法是否可取？为什么？结合下面的材料谈谈你的看法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 xml:space="preserve">材料：有一种想当然的看法,以为宋代给辽、夏、金岁币,使得它变穷,不得不拼命搜刮,全面激化了社会矛盾,最终导致政权的垮台。事实上,岁币数量很有限,在国家财政收入中只占很小的比例,而且,它可以在彼此的贸易中得到补偿,以宋对金的茶叶贸易为例,金方每年要掏出30万两银子(一作70万两),仅此一项就比绍兴和议中宋方付的岁币25万两还要多。        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570" w:firstLineChars="17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——李裕民《宋代“积贫积弱”说商榷》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学生预期回答：观点一：不可取：屈辱求和、财政受损，加重人民负担，激化社会矛盾，导致北宋衰亡。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观点二：有可取之处：受损有限社会安定；榷场贸易；民族交融；生产发展。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教师点拨：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我们要从多个视角去分析历史实物，不能只看到事物的一面。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积贫——财政危机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教师：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北宋的财政危机主要来源于军队。北宋在边疆战事中频吃败仗，却供养了一支空前庞大的军队。这支军队是通过招募组建的，多而不精，管理混乱，训练废弛，素质低下。军队不断扩编，导致军费直线上升，占到国家财政开支的大半。另外，北宋政府机构设置重叠，官僚子弟入仕过滥，致使官僚队伍也不断膨胀。养兵和养官成为朝廷的沉重负担，因此财政状况日益恶化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（三）解弊：王安石变法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教师过渡：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面临这样内忧外患的局面，宋朝又会采取什么样的措施来应对呢？下面一起让我们来看下一个内容王安石变法。首先，请同学们结合教材51页最后一段，概括了解王安石变法的背景。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1、背景：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“三冗两积”的社会局面，使北宋出现严重的社会危机；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）北宋的政治风气因循保守行政效率低下。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“庆历新政”失败，社会危机加深。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庆历新政的失败给了后人很多的经验教训，在此基础上，1609年，宋神宗任用王安石支持变法。王安石变法涉及农业、商业、军事、科技、教育等诸多领域，基本原则是加强国家对这些领域的管理和控制，达到富国强兵的目的。下面让我们一起来看王安石是通过哪些方法来富国强兵的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教师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课件展示王安石变法的内容，带领学生梳理分析。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2、基本概况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时间：1069年，宋神宗任用王安石主持变法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原则：加强国家对经济、军事等的管理与控制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目的：富国强兵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内容：富国：官府通过向农民提供农业贷款、拨巨款从事商业经营等手段，力图在调控经济的同时开辟财源。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强兵：对农民进行编制管理和军事训练，希望借以逐渐恢复“兵农合一”的征兵制，取代募兵制。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inline distT="0" distB="0" distL="114300" distR="114300">
                  <wp:extent cx="4074160" cy="1875790"/>
                  <wp:effectExtent l="0" t="0" r="10160" b="1397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16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教师：那么王安石的变法有没有解决宋朝当时社会的积弊呢？其效果具体怎样呢？请同学们结合王安石变法的内容，根据材料及课本内容概括分析王安石变法的影响。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材料：熙宁、元丰之间，中外府库，无不充衍，小邑岁积钱米，亦不减二十万。                                                     ——《宋史》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元丰四年、五年 , 宋夏之间两次大战, 宋军中义勇、保甲约占一半, 这两场战争都以宋军败北 、死伤数十万人而告结束……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730" w:firstLineChars="13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——吴巨洪《浅谈王安石变法失败的原因及启示》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学生预期回答：积极：达到了富国的目的，增加了大笔收入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消极：强兵效果并不明显；在执行中加重人民负担；引起争议，导致统治集团内部分裂，北宋逐渐走向衰亡。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总结升华：王安石变法在一定程度上改变了北宋积贫积弱的局面，但是没有从根本上解决问题，再加上变法触犯了大地主大官僚的利益，遭到他们的强烈反对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哲宗初年，高太后垂帘听政，起用司马光为宰相，新法几乎全被废掉，史称“元祐更化”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终王安石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变法以失败而告终，北宋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也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逐渐走向衰亡。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教师：范、王二人展现了高度的社会责任感和历史使命感，企图力挽狂澜，变法过程中一度也成效显著，然而结局是失败的。那么请大家思考二人变法失败的原因有哪些？启示有哪些？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学生预期回答：触犯大官僚、大地主的利益，遭到他们的阻挠与破坏；变法过程中用人不当，出现了一些危害百姓利益的现象；改革涉及面广，头绪过多，且推行操之过急。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教师：失败的原因有很多，从根本上来说，是因为变法措施触犯了官僚体系的既得利益。从中我们可以看出来，历史上的改革阻力是非常大的，对原有的利益格局进行重新分配，势必会伤害某些群体的既得利益，从而招致反对，改革者必须要有壮士断腕的决心和毅力，方才可能成功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教师过渡：北宋两次挽救统治危机的改革相继宣告失败，北宋的结局如何？对的，北宋走上了大多数封建王朝的老路：灭亡。1127年，北宋被东北的女真族建立的金朝攻灭，北宋康王赵构在应天府称皇帝，后定都临安，史称南宋。南宋最终是否完成了收复北方的壮举？我们一起来进入本课第四部分的学习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（四）循弊：南宋的偏安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left="630" w:leftChars="200" w:hanging="210" w:hanging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教师：出示课件南宋的偏安，讲解南宋建立的过程和宋金和战等相关史实1、1、北宋灭亡、南宋建立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 xml:space="preserve">   1127年，北宋被东北女真族建立的金朝攻灭，徽、钦二帝被俘北去，史称“靖康之变”。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 xml:space="preserve">   北宋康王赵构在应天府称帝，后定都临安，史称南宋。赵构即为宋高宗。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2、南宋的偏安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（1）南宋抗金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 xml:space="preserve"> 岳飞指挥的岳家军战绩卓著，但岳飞被南宋朝廷逮捕杀害。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 xml:space="preserve">（2）宋金和议   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57" w:afterLines="50" w:afterAutospacing="0" w:line="240" w:lineRule="auto"/>
              <w:ind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 xml:space="preserve"> 绍兴和议：划界；南宋对金称臣；“岁贡”。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（3）南北对峙</w:t>
            </w:r>
          </w:p>
          <w:p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 xml:space="preserve"> 此后，几次宋金战争，继续维持南北对峙局面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教师： 靖康之变后，宋王室失去淮河以北的土地，赵构定都临安，主和派得势，故不思收复北方土地，仅保有江南一隅，史称“偏安江南”，虽然出现了岳飞等名将，但由于统治集团内部矛盾重重，没有收复北方，绍兴和议后形成对峙局面。南宋最终为蒙古所灭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四、巩固拓展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如何看待岳飞之死？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材料：高宗当然不可能将岳飞释放，因为第一，他怕和议没法坚持下去；第二，释放岳飞意味着当初的兴狱即为有意制造的冤狱……第三，他怕岳飞怀恨在心，留下后患。                                         ——龚延明《岳飞》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从深层的政治文化角度来看，岳飞是死于宋代文官集团的集体迫害。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righ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——付月《宋朝的崇文抑武政策和岳飞之死》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教师观点：岳飞之死，象征着宋朝建国以来确立的“崇文抑武”政策的回归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五、课堂小结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   宋初的政治、军事制度建设出现了与前代不同的一些新变化。一方面对宋代的专制主义中央集权产生了深远的影响，结束了唐末五代以来藩镇割据混战不休的局面，对此后元明清三代大一统局面的实现和巩固产生积极影响，有利于多民族国家的稳定和发展。另一方面，也对宋代中期以后的社会发展产生了一些消极影响，这种影响贯穿整个两宋的发展过程，包括此后变法的失败和边疆危机的加深都与之有着深刻的联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板书设计</w:t>
            </w:r>
          </w:p>
        </w:tc>
        <w:tc>
          <w:tcPr>
            <w:tcW w:w="7512" w:type="dxa"/>
          </w:tcPr>
          <w:p>
            <w:pPr>
              <w:numPr>
                <w:ilvl w:val="0"/>
                <w:numId w:val="4"/>
              </w:num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两宋的政治与军事</w:t>
            </w:r>
          </w:p>
          <w:p>
            <w:pPr>
              <w:numPr>
                <w:ilvl w:val="0"/>
                <w:numId w:val="5"/>
              </w:num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防弊：强中央集权</w:t>
            </w:r>
          </w:p>
          <w:p>
            <w:pPr>
              <w:numPr>
                <w:ilvl w:val="0"/>
                <w:numId w:val="5"/>
              </w:numPr>
              <w:spacing w:line="360" w:lineRule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新弊：危边防财政</w:t>
            </w:r>
          </w:p>
          <w:p>
            <w:pPr>
              <w:numPr>
                <w:ilvl w:val="0"/>
                <w:numId w:val="5"/>
              </w:numPr>
              <w:spacing w:line="360" w:lineRule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解弊：王安石变法</w:t>
            </w:r>
          </w:p>
          <w:p>
            <w:pPr>
              <w:numPr>
                <w:ilvl w:val="0"/>
                <w:numId w:val="5"/>
              </w:numPr>
              <w:spacing w:line="360" w:lineRule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循弊：南宋的偏安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课后作业</w:t>
            </w:r>
          </w:p>
        </w:tc>
        <w:tc>
          <w:tcPr>
            <w:tcW w:w="7512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1、完成课后的问题探究和学习拓展。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2、构建本课知识框架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3、预习第10课辽夏金元的统治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  <w:jc w:val="center"/>
        </w:trPr>
        <w:tc>
          <w:tcPr>
            <w:tcW w:w="1828" w:type="dxa"/>
            <w:vAlign w:val="center"/>
          </w:tcPr>
          <w:p>
            <w:pPr>
              <w:spacing w:line="360" w:lineRule="auto"/>
              <w:jc w:val="center"/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教学反思</w:t>
            </w:r>
          </w:p>
        </w:tc>
        <w:tc>
          <w:tcPr>
            <w:tcW w:w="7512" w:type="dxa"/>
          </w:tcPr>
          <w:p>
            <w:pPr>
              <w:spacing w:line="360" w:lineRule="auto"/>
              <w:ind w:firstLine="315" w:firstLineChars="150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本课内容含量较多，课时较紧，要把握好知识讲述和学生人文素养培养的度，在知识传递中培养学生人文素养；注意把握重难点。</w:t>
            </w:r>
          </w:p>
        </w:tc>
      </w:tr>
    </w:tbl>
    <w:p>
      <w:pPr>
        <w:spacing w:line="380" w:lineRule="exact"/>
        <w:ind w:firstLine="360" w:firstLineChars="200"/>
        <w:jc w:val="left"/>
        <w:rPr>
          <w:rStyle w:val="11"/>
          <w:rFonts w:ascii="宋体"/>
          <w:sz w:val="18"/>
          <w:szCs w:val="18"/>
        </w:rPr>
      </w:pPr>
      <w:r>
        <w:rPr>
          <w:rStyle w:val="11"/>
          <w:rFonts w:hint="eastAsia" w:ascii="宋体"/>
          <w:sz w:val="18"/>
          <w:szCs w:val="18"/>
        </w:rPr>
        <w:t xml:space="preserve">                                                                    </w:t>
      </w:r>
    </w:p>
    <w:p>
      <w:pPr>
        <w:spacing w:line="380" w:lineRule="exact"/>
        <w:ind w:firstLine="360" w:firstLineChars="200"/>
        <w:jc w:val="left"/>
        <w:rPr>
          <w:rStyle w:val="11"/>
          <w:rFonts w:ascii="宋体"/>
          <w:sz w:val="18"/>
          <w:szCs w:val="18"/>
        </w:rPr>
      </w:pPr>
    </w:p>
    <w:p>
      <w:pPr>
        <w:spacing w:line="380" w:lineRule="exact"/>
        <w:ind w:firstLine="480" w:firstLineChars="200"/>
        <w:jc w:val="both"/>
        <w:rPr>
          <w:rFonts w:hint="eastAsia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083" w:bottom="1440" w:left="1083" w:header="851" w:footer="992" w:gutter="0"/>
          <w:cols w:space="0" w:num="1"/>
          <w:docGrid w:type="lines" w:linePitch="314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center" w:pos="4870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  <w:p>
    <w:pPr>
      <w:widowControl w:val="0"/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  <w:p>
    <w:pPr>
      <w:widowControl w:val="0"/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E2B1FE"/>
    <w:multiLevelType w:val="singleLevel"/>
    <w:tmpl w:val="95E2B1FE"/>
    <w:lvl w:ilvl="0" w:tentative="0">
      <w:start w:val="9"/>
      <w:numFmt w:val="decimal"/>
      <w:suff w:val="space"/>
      <w:lvlText w:val="第%1课"/>
      <w:lvlJc w:val="left"/>
    </w:lvl>
  </w:abstractNum>
  <w:abstractNum w:abstractNumId="1">
    <w:nsid w:val="AE3F8345"/>
    <w:multiLevelType w:val="singleLevel"/>
    <w:tmpl w:val="AE3F834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9BFACEE"/>
    <w:multiLevelType w:val="singleLevel"/>
    <w:tmpl w:val="49BFAC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A351D5E"/>
    <w:multiLevelType w:val="singleLevel"/>
    <w:tmpl w:val="6A351D5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7A39BA5"/>
    <w:multiLevelType w:val="singleLevel"/>
    <w:tmpl w:val="77A39BA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oNotHyphenateCaps/>
  <w:drawingGridVerticalSpacing w:val="157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JmNzI1MDBkNGEwMjFhZDVkYzIwM2ZlODJhZTNhYzYifQ=="/>
  </w:docVars>
  <w:rsids>
    <w:rsidRoot w:val="6C0D6E96"/>
    <w:rsid w:val="0002627C"/>
    <w:rsid w:val="00157492"/>
    <w:rsid w:val="003125EC"/>
    <w:rsid w:val="0033187B"/>
    <w:rsid w:val="003D1EDB"/>
    <w:rsid w:val="004151FC"/>
    <w:rsid w:val="00420CF4"/>
    <w:rsid w:val="004755CA"/>
    <w:rsid w:val="004768F6"/>
    <w:rsid w:val="00490FC0"/>
    <w:rsid w:val="004A65CF"/>
    <w:rsid w:val="004E60E3"/>
    <w:rsid w:val="006E1493"/>
    <w:rsid w:val="007437C4"/>
    <w:rsid w:val="008D2940"/>
    <w:rsid w:val="00971891"/>
    <w:rsid w:val="009D5DC3"/>
    <w:rsid w:val="00C02FC6"/>
    <w:rsid w:val="00D57C0C"/>
    <w:rsid w:val="00E951DC"/>
    <w:rsid w:val="00F02D63"/>
    <w:rsid w:val="00F84D3C"/>
    <w:rsid w:val="027E2B47"/>
    <w:rsid w:val="02886ACB"/>
    <w:rsid w:val="03EA2FDF"/>
    <w:rsid w:val="049A4077"/>
    <w:rsid w:val="074B782D"/>
    <w:rsid w:val="07BF737D"/>
    <w:rsid w:val="0840307A"/>
    <w:rsid w:val="08F47434"/>
    <w:rsid w:val="09876835"/>
    <w:rsid w:val="0A1A5220"/>
    <w:rsid w:val="0CF762BD"/>
    <w:rsid w:val="1014029F"/>
    <w:rsid w:val="101956D2"/>
    <w:rsid w:val="103B2776"/>
    <w:rsid w:val="11347FA3"/>
    <w:rsid w:val="11406882"/>
    <w:rsid w:val="13C66E9F"/>
    <w:rsid w:val="17426315"/>
    <w:rsid w:val="188D7863"/>
    <w:rsid w:val="19FA6A3D"/>
    <w:rsid w:val="1D2A7A69"/>
    <w:rsid w:val="1E8842CA"/>
    <w:rsid w:val="1EDB15FD"/>
    <w:rsid w:val="1FA85CC0"/>
    <w:rsid w:val="246654B7"/>
    <w:rsid w:val="25CB5F75"/>
    <w:rsid w:val="297A20D2"/>
    <w:rsid w:val="29825C4A"/>
    <w:rsid w:val="2C96770C"/>
    <w:rsid w:val="313517BA"/>
    <w:rsid w:val="31D648BD"/>
    <w:rsid w:val="33AE3F73"/>
    <w:rsid w:val="33EA6C83"/>
    <w:rsid w:val="36392E40"/>
    <w:rsid w:val="379941C2"/>
    <w:rsid w:val="379A16BD"/>
    <w:rsid w:val="3AC63265"/>
    <w:rsid w:val="3E45305F"/>
    <w:rsid w:val="3F1A00D6"/>
    <w:rsid w:val="3FC41DBB"/>
    <w:rsid w:val="41ED526F"/>
    <w:rsid w:val="42B27AC3"/>
    <w:rsid w:val="43842C4D"/>
    <w:rsid w:val="46FE01F8"/>
    <w:rsid w:val="46FF567E"/>
    <w:rsid w:val="47DF0FED"/>
    <w:rsid w:val="48117E73"/>
    <w:rsid w:val="48452796"/>
    <w:rsid w:val="49FD1E2B"/>
    <w:rsid w:val="4A6B1D81"/>
    <w:rsid w:val="4BCF641E"/>
    <w:rsid w:val="4C4A7960"/>
    <w:rsid w:val="4E137795"/>
    <w:rsid w:val="51B239AE"/>
    <w:rsid w:val="51E16D18"/>
    <w:rsid w:val="52AE3B3B"/>
    <w:rsid w:val="53CF0B4C"/>
    <w:rsid w:val="579975C4"/>
    <w:rsid w:val="57D6220E"/>
    <w:rsid w:val="58523F9B"/>
    <w:rsid w:val="58F93202"/>
    <w:rsid w:val="5C755332"/>
    <w:rsid w:val="5CA81B85"/>
    <w:rsid w:val="5CE841F5"/>
    <w:rsid w:val="5E1E6B7C"/>
    <w:rsid w:val="608F352A"/>
    <w:rsid w:val="609A7F5D"/>
    <w:rsid w:val="613C574A"/>
    <w:rsid w:val="634B514E"/>
    <w:rsid w:val="66E4158A"/>
    <w:rsid w:val="692C09C0"/>
    <w:rsid w:val="6B814945"/>
    <w:rsid w:val="6B8D6DF3"/>
    <w:rsid w:val="6C0D6E96"/>
    <w:rsid w:val="6D32074E"/>
    <w:rsid w:val="6D970333"/>
    <w:rsid w:val="6FDA7926"/>
    <w:rsid w:val="70F62D04"/>
    <w:rsid w:val="71457B63"/>
    <w:rsid w:val="71770A85"/>
    <w:rsid w:val="783E0491"/>
    <w:rsid w:val="7C961514"/>
    <w:rsid w:val="7D6A0C45"/>
    <w:rsid w:val="7DB5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locked/>
    <w:uiPriority w:val="0"/>
    <w:rPr>
      <w:b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NormalCharacter"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2">
    <w:name w:val="UserStyle_0"/>
    <w:basedOn w:val="1"/>
    <w:qFormat/>
    <w:uiPriority w:val="99"/>
    <w:pPr>
      <w:spacing w:before="100" w:beforeAutospacing="1" w:after="100" w:afterAutospacing="1"/>
      <w:ind w:firstLine="420" w:firstLineChars="200"/>
    </w:pPr>
    <w:rPr>
      <w:rFonts w:eastAsia="方正仿宋_GBK"/>
      <w:sz w:val="32"/>
      <w:szCs w:val="32"/>
    </w:rPr>
  </w:style>
  <w:style w:type="paragraph" w:customStyle="1" w:styleId="13">
    <w:name w:val="_Style 2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styleId="14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styleId="15">
    <w:name w:val="List Paragraph"/>
    <w:basedOn w:val="1"/>
    <w:qFormat/>
    <w:uiPriority w:val="34"/>
    <w:pPr>
      <w:widowControl w:val="0"/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6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png"/><Relationship Id="rId7" Type="http://schemas.openxmlformats.org/officeDocument/2006/relationships/image" Target="media/image3.em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em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 textRotate="1"/>
    <customShpInfo spid="_x0000_s2052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26586A-3D3B-43AD-A7A3-80CACF8FF7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5050</Words>
  <Characters>5080</Characters>
  <DocSecurity>0</DocSecurity>
  <Lines>23</Lines>
  <Paragraphs>6</Paragraphs>
  <ScaleCrop>false</ScaleCrop>
  <LinksUpToDate>false</LinksUpToDate>
  <CharactersWithSpaces>5493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2019-12-03T02:57:00Z</cp:lastPrinted>
  <dcterms:created xsi:type="dcterms:W3CDTF">2019-03-22T14:12:00Z</dcterms:created>
  <dcterms:modified xsi:type="dcterms:W3CDTF">2022-06-28T09:13:02Z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FD853F6B831640A0A49057CCC4C390E5</vt:lpwstr>
  </property>
</Properties>
</file>