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741" w:firstLineChars="130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t>第三单元测试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一、单选题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</w:t>
      </w:r>
      <w:r>
        <w:rPr>
          <w:rFonts w:cs="宋体" w:asciiTheme="minorEastAsia" w:hAnsiTheme="minorEastAsia"/>
          <w:szCs w:val="21"/>
        </w:rPr>
        <w:t>《秦律·法律答问》记载：“父盗子，不为盗。今假父（即继父）盗假子（即继子），何论？当为盗。”对此理解最准确的是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秦朝用法律来规范经济关系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继子未被当做家庭成员看待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体现秦律尊卑不同罚的原则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秦律保护继子的私有财产权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2．</w:t>
      </w:r>
      <w:r>
        <w:rPr>
          <w:rFonts w:cs="宋体" w:asciiTheme="minorEastAsia" w:hAnsiTheme="minorEastAsia"/>
          <w:szCs w:val="21"/>
        </w:rPr>
        <w:t>公元前242年，罗马国家设立了外事最高裁判官，专门负责受理罗马公民与异邦人以及异邦人之间的诉讼，调整他们之间的权利、义务关系。外事裁判官在处理案件时，除了参照罗马法的规范外，也吸取了地中海区域其他民族的法律规范。这一措施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加强了不同地区的经济联系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丰富了罗马法的法律实践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解决了罗马公民之间的矛盾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削弱了市民法的法律效力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3．</w:t>
      </w:r>
      <w:r>
        <w:rPr>
          <w:rFonts w:cs="宋体" w:asciiTheme="minorEastAsia" w:hAnsiTheme="minorEastAsia"/>
          <w:szCs w:val="21"/>
        </w:rPr>
        <w:t>1953年《选举法》规定：直辖市和工业大城市每10万人选代表1人，一般省份每80万人选1人：2010年春修订后的“选举法”规定，全国人大每一代表所代表的乡村与城市人口数的比例修改为1：1。代表名额比例的变化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说明人民代表大会制度比较完善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说明民主化进程得到进一步加快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反映出城镇化发展对政治的影响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折射出我国农村与城市的平等发展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4．</w:t>
      </w:r>
      <w:r>
        <w:rPr>
          <w:rFonts w:cs="宋体" w:asciiTheme="minorEastAsia" w:hAnsiTheme="minorEastAsia"/>
          <w:szCs w:val="21"/>
        </w:rPr>
        <w:t>德国历史学家马克斯·韦伯根据政治权力与威势的来源，提出政治权威三类型学说:一是传统型权威，二是超凡魅力型权威，三是法理型权威.20世纪末，中国“法理型权威”的具体表现是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依法治国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从严治党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提倡人权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执政为民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5．</w:t>
      </w:r>
      <w:r>
        <w:rPr>
          <w:rFonts w:cs="宋体" w:asciiTheme="minorEastAsia" w:hAnsiTheme="minorEastAsia"/>
          <w:szCs w:val="21"/>
        </w:rPr>
        <w:t>757年，李白作诗《永王东巡歌》，在永王割据失败后被捕入狱。因郭子仪等人以天下动荡、不宜大动干戈为由为他求情，免于一死，流放夜郎。两年后，朝廷因旱灾大赦天下，李白得以重获自由身，从长江一路疾驰而下，写下了那首脍炙人口的《早发白帝城》。这体现了唐朝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法律理念受到儒家思想影响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纲常伦理道德得到强化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盛唐时期边塞诗人英武豪放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司法审判深受佛道影响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6．</w:t>
      </w:r>
      <w:r>
        <w:rPr>
          <w:rFonts w:cs="宋体" w:asciiTheme="minorEastAsia" w:hAnsiTheme="minorEastAsia"/>
          <w:szCs w:val="21"/>
        </w:rPr>
        <w:t>与周代相比，春秋时期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民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的地位进一步提升，统治者从对天的崇拜中脱离出来。《左传</w:t>
      </w:r>
      <w:r>
        <w:rPr>
          <w:rFonts w:cs="Times New Roman" w:asciiTheme="minorEastAsia" w:hAnsiTheme="minorEastAsia"/>
          <w:szCs w:val="21"/>
        </w:rPr>
        <w:t>·</w:t>
      </w:r>
      <w:r>
        <w:rPr>
          <w:rFonts w:cs="宋体" w:asciiTheme="minorEastAsia" w:hAnsiTheme="minorEastAsia"/>
          <w:szCs w:val="21"/>
        </w:rPr>
        <w:t>桓公六年》称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夫民，神之主也，是以圣王先成民而后致力于神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，又《左传</w:t>
      </w:r>
      <w:r>
        <w:rPr>
          <w:rFonts w:cs="Times New Roman" w:asciiTheme="minorEastAsia" w:hAnsiTheme="minorEastAsia"/>
          <w:szCs w:val="21"/>
        </w:rPr>
        <w:t>·</w:t>
      </w:r>
      <w:r>
        <w:rPr>
          <w:rFonts w:cs="宋体" w:asciiTheme="minorEastAsia" w:hAnsiTheme="minorEastAsia"/>
          <w:szCs w:val="21"/>
        </w:rPr>
        <w:t>庄公三十二年》言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国将兴，听于民；将亡，听于神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。这表明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统治阶层对社会治理持理性态度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民的尊崇与鬼神的崇拜互相交织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民的地位与鬼神的地位分庭抗礼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鬼神成为了国运衰落的罪魁祸首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7．</w:t>
      </w:r>
      <w:r>
        <w:rPr>
          <w:rFonts w:cs="宋体" w:asciiTheme="minorEastAsia" w:hAnsiTheme="minorEastAsia"/>
          <w:szCs w:val="21"/>
        </w:rPr>
        <w:t>汉初，统治者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除挟书律</w:t>
      </w:r>
      <w:r>
        <w:rPr>
          <w:rFonts w:cs="Times New Roman" w:asciiTheme="minorEastAsia" w:hAnsiTheme="minorEastAsia"/>
          <w:szCs w:val="21"/>
        </w:rPr>
        <w:t>''</w:t>
      </w:r>
      <w:r>
        <w:rPr>
          <w:rFonts w:cs="宋体" w:asciiTheme="minorEastAsia" w:hAnsiTheme="minorEastAsia"/>
          <w:szCs w:val="21"/>
        </w:rPr>
        <w:t>，制礼作乐，设立儒学博士，谥号中加</w:t>
      </w:r>
      <w:r>
        <w:rPr>
          <w:rFonts w:cs="Times New Roman" w:asciiTheme="minorEastAsia" w:hAnsiTheme="minorEastAsia"/>
          <w:szCs w:val="21"/>
        </w:rPr>
        <w:t>“</w:t>
      </w:r>
      <w:r>
        <w:rPr>
          <w:rFonts w:cs="宋体" w:asciiTheme="minorEastAsia" w:hAnsiTheme="minorEastAsia"/>
          <w:szCs w:val="21"/>
        </w:rPr>
        <w:t>孝</w:t>
      </w:r>
      <w:r>
        <w:rPr>
          <w:rFonts w:cs="Times New Roman" w:asciiTheme="minorEastAsia" w:hAnsiTheme="minorEastAsia"/>
          <w:szCs w:val="21"/>
        </w:rPr>
        <w:t>”</w:t>
      </w:r>
      <w:r>
        <w:rPr>
          <w:rFonts w:cs="宋体" w:asciiTheme="minorEastAsia" w:hAnsiTheme="minorEastAsia"/>
          <w:szCs w:val="21"/>
        </w:rPr>
        <w:t>。这反映出汉初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儒学治国功能受到重视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儒学独尊地位得到巩固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统治阶级推崇儒道互融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统治阶级调整治国政策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8．</w:t>
      </w:r>
      <w:r>
        <w:rPr>
          <w:rFonts w:cs="宋体" w:asciiTheme="minorEastAsia" w:hAnsiTheme="minorEastAsia"/>
          <w:szCs w:val="21"/>
        </w:rPr>
        <w:t>1962年3月，毛泽东针对公安工作指出：“刑法需要制定，民法也需要制定，没有法律不行”。1964年7月形成民法草案（试拟稿），该草案共3编、24章、262条，包括总则、财产的所有、财产的流转。这反映出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国民经济调整任务完成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“左”倾错误得到全面纠正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依法治国方针正式形成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社会主义建设的有益探索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9．</w:t>
      </w:r>
      <w:r>
        <w:rPr>
          <w:rFonts w:cs="宋体" w:asciiTheme="minorEastAsia" w:hAnsiTheme="minorEastAsia"/>
          <w:szCs w:val="21"/>
        </w:rPr>
        <w:t>1956年，王砚香从北京回到山区的供销店工作，他和同伴们长期坚持用背篓为农民送货，同时把农民的农副产品背下山。以他为原型的电影《红色背篓》公映，“背篓精神”也由此风靡全国。这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反映了艺术都是生活的真实写照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倡导了艰苦奋斗的社会主义新风尚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说明对农村社会主义改造已完成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展现了新中国电影事业的蓬勃发展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10．</w:t>
      </w:r>
      <w:r>
        <w:rPr>
          <w:rFonts w:cs="宋体" w:asciiTheme="minorEastAsia" w:hAnsiTheme="minorEastAsia"/>
          <w:szCs w:val="21"/>
        </w:rPr>
        <w:t>1981年全国人大常委会决定暂停民法典的起草，转向先分别制定单行法，1998年八届全国人大决定恢复民法典的起草工作，2002年九届全国人大决定加快民法典的起草工作，2020年5月，十三届全国人大三次会议表决通过了《中华人民共和国民法典》。这一过程主要反映了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国家治理体系趋于完备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法制建设适应经济发展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依法治国理念深入人心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人民代表大会制的完善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</w:t>
      </w:r>
      <w:r>
        <w:rPr>
          <w:rFonts w:cs="宋体" w:asciiTheme="minorEastAsia" w:hAnsiTheme="minorEastAsia"/>
          <w:szCs w:val="21"/>
        </w:rPr>
        <w:t>唐律规定∶官员必须做到"诸断罪皆须具引律、令、格、式正文"，否则触犯刑法。官员不得援引皇帝的权宜处分断案，一切定刑量罪只能依据法典律条。这些规定表明唐代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司法公正观念备受重视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官吏的政治特权被废除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君权神授理论受到冲击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官吏违法审判现象严重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12．</w:t>
      </w:r>
      <w:r>
        <w:rPr>
          <w:rFonts w:cs="宋体" w:asciiTheme="minorEastAsia" w:hAnsiTheme="minorEastAsia"/>
          <w:szCs w:val="21"/>
        </w:rPr>
        <w:t>商周之际，职官就任，必先册命。商代册命巫鬼色彩明显；周代册命多强调敬天保民、褒德赏功。这种变化反映出，周代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宗法制成为册命的依据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周王取代巫鬼成为信仰主体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周王借助奖赏控制大臣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国家治理具有浓重人文理念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13．</w:t>
      </w:r>
      <w:r>
        <w:rPr>
          <w:rFonts w:cs="宋体" w:asciiTheme="minorEastAsia" w:hAnsiTheme="minorEastAsia"/>
          <w:szCs w:val="21"/>
        </w:rPr>
        <w:t>自1982年宪法颁布以来，全国人民代表大会已进行五次修正，先后把坚持改革开放、实行社会主义市场经济、完善私有财产保护制度、习近平新时代中国特色社会主义思想等写人宪法。由此可知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中国高度重视保障人权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公民法制意识日益增强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法律随时代进步不断完善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法律经济职能得以强化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14．</w:t>
      </w:r>
      <w:r>
        <w:rPr>
          <w:rFonts w:cs="宋体" w:asciiTheme="minorEastAsia" w:hAnsiTheme="minorEastAsia"/>
          <w:szCs w:val="21"/>
        </w:rPr>
        <w:t>司马迁在《史记》中对游侠非常赞赏，认为他们不求贤达于诸候，无视官府法度，但是坚持自己的道义，为他人排忧解难。但是班固在《汉书》中却认为游侠大多犯法作科，阴贼好杀。造成这一</w:t>
      </w:r>
      <w:r>
        <w:rPr>
          <w:rFonts w:cs="Times New Roman" w:asciiTheme="minorEastAsia" w:hAnsiTheme="minorEastAsia"/>
          <w:szCs w:val="21"/>
        </w:rPr>
        <w:t>-</w:t>
      </w:r>
      <w:r>
        <w:rPr>
          <w:rFonts w:cs="宋体" w:asciiTheme="minorEastAsia" w:hAnsiTheme="minorEastAsia"/>
          <w:szCs w:val="21"/>
        </w:rPr>
        <w:t>变化的主要原因是（</w:t>
      </w:r>
      <w:r>
        <w:rPr>
          <w:rFonts w:cs="Times New Roman" w:asciiTheme="minorEastAsia" w:hAnsiTheme="minorEastAsia"/>
          <w:szCs w:val="21"/>
        </w:rPr>
        <w:t xml:space="preserve">  </w:t>
      </w:r>
      <w:r>
        <w:rPr>
          <w:rFonts w:cs="宋体" w:asciiTheme="minorEastAsia" w:hAnsiTheme="minorEastAsia"/>
          <w:szCs w:val="21"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法律制度逐步完善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游侠群体性质变异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社会主流思想变化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东汉推崇法家思想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15．</w:t>
      </w:r>
      <w:r>
        <w:rPr>
          <w:rFonts w:cs="宋体" w:asciiTheme="minorEastAsia" w:hAnsiTheme="minorEastAsia"/>
          <w:szCs w:val="21"/>
        </w:rPr>
        <w:t>秦简中有名称的法律共有二十九种，涉及经济的有《田律》《厩苑律》《仓律》《金布律》《关市律》《工律》《工人程》《均工》《徭律》《传食律》等十余种，证实了秦代泰山石刻所云“治道运行，诸产得宜，皆有法式”。这表明秦朝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A．</w:t>
      </w:r>
      <w:r>
        <w:rPr>
          <w:rFonts w:cs="宋体" w:asciiTheme="minorEastAsia" w:hAnsiTheme="minorEastAsia"/>
          <w:szCs w:val="21"/>
        </w:rPr>
        <w:t>用法律抑制工商业的发展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B．</w:t>
      </w:r>
      <w:r>
        <w:rPr>
          <w:rFonts w:cs="宋体" w:asciiTheme="minorEastAsia" w:hAnsiTheme="minorEastAsia"/>
          <w:szCs w:val="21"/>
        </w:rPr>
        <w:t>重视用法律规范经济生活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C．</w:t>
      </w:r>
      <w:r>
        <w:rPr>
          <w:rFonts w:cs="宋体" w:asciiTheme="minorEastAsia" w:hAnsiTheme="minorEastAsia"/>
          <w:szCs w:val="21"/>
        </w:rPr>
        <w:t>农本观念受到了严重冲击</w:t>
      </w:r>
      <w:r>
        <w:rPr>
          <w:rFonts w:asciiTheme="minorEastAsia" w:hAnsiTheme="minorEastAsia"/>
          <w:szCs w:val="21"/>
        </w:rPr>
        <w:tab/>
      </w:r>
      <w:r>
        <w:rPr>
          <w:rFonts w:asciiTheme="minorEastAsia" w:hAnsiTheme="minorEastAsia"/>
          <w:szCs w:val="21"/>
        </w:rPr>
        <w:t>D．</w:t>
      </w:r>
      <w:r>
        <w:rPr>
          <w:rFonts w:cs="宋体" w:asciiTheme="minorEastAsia" w:hAnsiTheme="minorEastAsia"/>
          <w:szCs w:val="21"/>
        </w:rPr>
        <w:t>农工商各行业的全面发展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二、材料分析题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阅读下列材料：</w:t>
      </w:r>
    </w:p>
    <w:p>
      <w:pPr>
        <w:spacing w:line="360" w:lineRule="auto"/>
        <w:ind w:firstLine="45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  任何人不能仅因为思想而受惩罚。判刑时必须始终考虑罪犯的年龄与涉世不深……父亲的罪名或所受惩罚不能玷污儿子的名声，因为每一方的命运均取决于自己的行为，而任何一方不得被指定为另一方所犯罪行的继承人。世代相传的习俗应受到尊重和服从，不得轻视，但其有效性不应凌驾于理性或法律之上。</w:t>
      </w:r>
    </w:p>
    <w:p>
      <w:pPr>
        <w:spacing w:line="360" w:lineRule="auto"/>
        <w:ind w:firstLine="45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——罗马的《民法大全》</w:t>
      </w:r>
    </w:p>
    <w:p>
      <w:pPr>
        <w:spacing w:line="360" w:lineRule="auto"/>
        <w:ind w:firstLine="45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 xml:space="preserve">材料二  </w:t>
      </w:r>
      <w:r>
        <w:rPr>
          <w:rFonts w:cs="Times New Roman" w:asciiTheme="minorEastAsia" w:hAnsiTheme="minorEastAsia"/>
          <w:szCs w:val="21"/>
        </w:rPr>
        <w:t>1787</w:t>
      </w:r>
      <w:r>
        <w:rPr>
          <w:rFonts w:cs="楷体" w:asciiTheme="minorEastAsia" w:hAnsiTheme="minorEastAsia"/>
          <w:szCs w:val="21"/>
        </w:rPr>
        <w:t>年美国宪法规定：国会由参议院和众议院组成，参议员由各州议会选出，每州一律两名，任期六年，每两年改选三分之一；众议员任期两年，按各州人口比例选举产……总统是国家元首、政府首脑和武装部队总司令……最高法院大法官由总统经参议院同意后任命，除非渎职，任职终身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请回答：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（1）材料一体现了古罗马法的哪些思想？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（2）材料二中美国政权的权力中心是什么？有何目的？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（春秋决狱）阅读材料，完成下列要求。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材料一  春秋决狱是西汉董仲舒首先提出来的一种判决模式，他认为在法律无明确规定时，可用《春秋》等六经中的思想作为判决案件的依据。此外，审判除了应根据案件的事实外，还应重视追究犯罪人的动机来断案，即所谓“原心定罪”。与此有关的断狱案例被汇编成十卷的《春秋决事比》，该书中有案例如下：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甲父乙与丙争言相斗，丙以佩刀刺乙，甲即以杖击丙，误伤乙，甲殴父,律当枭首。董仲舒认为：“父子至亲，闻其斗，莫不有怵怅之心，扶杖而救之，非所以欲诟父也。《春秋》之义，许止父病，进药于其父而卒，君子原心，赦而不诛。甲非律所当殴父，不当坐。”</w:t>
      </w:r>
    </w:p>
    <w:p>
      <w:pPr>
        <w:spacing w:line="360" w:lineRule="auto"/>
        <w:ind w:firstLine="420"/>
        <w:jc w:val="righ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——摘编自杨健康、黃震《春秋决狱及其现代价值》等</w:t>
      </w:r>
    </w:p>
    <w:p>
      <w:pPr>
        <w:spacing w:line="360" w:lineRule="auto"/>
        <w:ind w:firstLine="420"/>
        <w:jc w:val="left"/>
        <w:textAlignment w:val="center"/>
        <w:rPr>
          <w:rFonts w:cs="楷体" w:asciiTheme="minorEastAsia" w:hAnsiTheme="minorEastAsia"/>
          <w:szCs w:val="21"/>
        </w:rPr>
      </w:pPr>
      <w:r>
        <w:rPr>
          <w:rFonts w:cs="楷体" w:asciiTheme="minorEastAsia" w:hAnsiTheme="minorEastAsia"/>
          <w:szCs w:val="21"/>
        </w:rPr>
        <w:t>材料二 “春秋决狱”在汉代极为盛行，魏晋南北朝时期形成明确的法律制度，到唐代基本结束。“春秋决狱”作为一种比较特殊的断案方式，在中国法制史上存在</w:t>
      </w:r>
      <w:r>
        <w:rPr>
          <w:rFonts w:cs="Times New Roman" w:asciiTheme="minorEastAsia" w:hAnsiTheme="minorEastAsia"/>
          <w:szCs w:val="21"/>
        </w:rPr>
        <w:t>900</w:t>
      </w:r>
      <w:r>
        <w:rPr>
          <w:rFonts w:cs="楷体" w:asciiTheme="minorEastAsia" w:hAnsiTheme="minorEastAsia"/>
          <w:szCs w:val="21"/>
        </w:rPr>
        <w:t>多年，占中华文明史的近五分之一时间，其精神要义根植于中国法律的深层土壤，对整个中国法治的进程产生了深远的影响。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cs="宋体" w:asciiTheme="minorEastAsia" w:hAnsiTheme="minorEastAsia"/>
          <w:szCs w:val="21"/>
        </w:rPr>
        <w:t>）根据材料一，并结合所学知识，指出董仲舒判决甲民无罪的依据，并分析“春秋决狱”反映出的汉代法律的发展趋势。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2</w:t>
      </w:r>
      <w:r>
        <w:rPr>
          <w:rFonts w:cs="宋体" w:asciiTheme="minorEastAsia" w:hAnsiTheme="minorEastAsia"/>
          <w:szCs w:val="21"/>
        </w:rPr>
        <w:t>）根据材料一、二并结合所学知识，概括西汉“春秋决狱”的历史影响。</w:t>
      </w: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rPr>
          <w:rFonts w:asciiTheme="minorEastAsia" w:hAnsiTheme="minorEastAsia"/>
          <w:b/>
          <w:szCs w:val="21"/>
        </w:rPr>
      </w:pPr>
    </w:p>
    <w:p>
      <w:pPr>
        <w:spacing w:line="36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参考答案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1．C2．B3．B4．A5．A6．A7．A8．D9．B10．B</w:t>
      </w:r>
    </w:p>
    <w:p>
      <w:pPr>
        <w:spacing w:line="360" w:lineRule="auto"/>
        <w:jc w:val="left"/>
        <w:textAlignment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11．A12．D13．C14．C15．B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16．</w:t>
      </w:r>
      <w:r>
        <w:rPr>
          <w:rFonts w:cs="宋体" w:asciiTheme="minorEastAsia" w:hAnsiTheme="minorEastAsia"/>
          <w:szCs w:val="21"/>
        </w:rPr>
        <w:t>（1）思想：古罗马法重证据；保护未成年人甚至涉世不深者的权益；反对罪及亲属子女；强调法律的最高权威。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（2）权力中心：总统。目的：加强中央集权，进一步巩固美国独立战争的成果。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17．</w:t>
      </w: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1</w:t>
      </w:r>
      <w:r>
        <w:rPr>
          <w:rFonts w:cs="宋体" w:asciiTheme="minorEastAsia" w:hAnsiTheme="minorEastAsia"/>
          <w:szCs w:val="21"/>
        </w:rPr>
        <w:t>）依据：依据三纲五常的儒家伦理；无殴父的动机。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趋势：法律的儒家化、伦理化，礼法并用；法律不断宽松简化，纠正秦朝以来严刑峻法的趋势。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2</w:t>
      </w:r>
      <w:r>
        <w:rPr>
          <w:rFonts w:cs="宋体" w:asciiTheme="minorEastAsia" w:hAnsiTheme="minorEastAsia"/>
          <w:szCs w:val="21"/>
        </w:rPr>
        <w:t>）积极影响：一定程度上有利于弥补成文法里人性化的不足，解决了立法漏洞、立法滞后等问题；考虑了人主观上的善、恶，推动了礼法并用、以礼为主的中国法律传统的形成，推动法律儒家化；量刑趋向宽松，利于纠正、缓和社会矛盾、有利于维护国家统一等。</w:t>
      </w:r>
    </w:p>
    <w:p>
      <w:pPr>
        <w:spacing w:line="360" w:lineRule="auto"/>
        <w:jc w:val="left"/>
        <w:textAlignment w:val="center"/>
        <w:rPr>
          <w:rFonts w:cs="宋体" w:asciiTheme="minorEastAsia" w:hAnsiTheme="minorEastAsia"/>
          <w:szCs w:val="21"/>
        </w:rPr>
      </w:pPr>
      <w:r>
        <w:rPr>
          <w:rFonts w:cs="宋体" w:asciiTheme="minorEastAsia" w:hAnsiTheme="minorEastAsia"/>
          <w:szCs w:val="21"/>
        </w:rPr>
        <w:t>消极影响：春秋决狱将行为者的动机意图放在量刑非常重要的位置，在司法审判中强调情感伦理道德的作用，可能会对法律的公平、公正目标造成影响；在司法审判中，统治者自己的需要任意解释，实际上并没有客观严格的标准和程序，难免造成“人治”局面；</w:t>
      </w:r>
    </w:p>
    <w:p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\</w:t>
      </w:r>
      <w:bookmarkStart w:id="0" w:name="_GoBack"/>
      <w:bookmarkEnd w:id="0"/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4097" o:spid="_x0000_s4097" o:spt="75" type="#_x0000_t75" style="position:absolute;left:0pt;margin-left:10pt;margin-top:1000pt;height:19pt;width:27pt;mso-position-horizontal-relative:page;mso-position-vertical-relative:page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37"/>
    <w:rsid w:val="00002631"/>
    <w:rsid w:val="0034271E"/>
    <w:rsid w:val="006C5F37"/>
    <w:rsid w:val="00926838"/>
    <w:rsid w:val="00AF7A1B"/>
    <w:rsid w:val="29C84B8A"/>
    <w:rsid w:val="6ED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3405</Words>
  <Characters>3481</Characters>
  <DocSecurity>0</DocSecurity>
  <Lines>25</Lines>
  <Paragraphs>7</Paragraphs>
  <ScaleCrop>false</ScaleCrop>
  <LinksUpToDate>false</LinksUpToDate>
  <CharactersWithSpaces>3519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2021-08-15T09:59:00Z</dcterms:created>
  <dcterms:modified xsi:type="dcterms:W3CDTF">2021-08-16T09:09:50Z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6D93F29E987E47DF903556240369FD66</vt:lpwstr>
  </property>
</Properties>
</file>