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pict>
          <v:shape id="_x0000_s1025" o:spid="_x0000_s1025" o:spt="75" type="#_x0000_t75" style="position:absolute;left:0pt;margin-left:838pt;margin-top:809pt;height:36pt;width:3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第四单元 明清中国版图的奠定与面临的挑战</w:t>
      </w:r>
      <w:bookmarkStart w:id="15" w:name="_GoBack"/>
      <w:bookmarkEnd w:id="15"/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明太祖、成祖等有为之君“于奏章有所制定后，口授学士笔书之”。宣宗宣德年间“始令内阁杨士奇等于中外奏章，用小纸墨书，贴于奏章，进呈皇帝，谓之条旨，一曰票拟”。上述变化</w:t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A．说明内阁的性质和职能逐步发生改变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B．体现入阁官员的权势和地位逐渐提高</w:t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C．是司礼监太监参与政事的根本原因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D．使军政大权进一步集中到皇帝手中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0" w:name="topic_c27db2cc-1b61-4a9d-8ca0-bf880493b4"/>
      <w:r>
        <w:rPr>
          <w:rFonts w:hint="default" w:ascii="Times New Roman" w:hAnsi="Times New Roman" w:cs="Times New Roman" w:eastAsiaTheme="minorEastAsia"/>
          <w:kern w:val="0"/>
          <w:szCs w:val="21"/>
        </w:rPr>
        <w:t>三公九卿制度的基本结构从秦朝一直沿用，直到六部直接对皇帝负责，中国古代历史中的中央官制三级制度才算寿终正寝。下列皇帝使之彻底“寿终正寝”是（　　）</w:t>
      </w:r>
      <w:bookmarkEnd w:id="0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秦始皇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唐太宗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明太祖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清太祖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1" w:name="topic_730d07f9-7d09-4f78-a766-9076f91fcd"/>
      <w:r>
        <w:rPr>
          <w:rFonts w:hint="default" w:ascii="Times New Roman" w:hAnsi="Times New Roman" w:cs="Times New Roman" w:eastAsiaTheme="minorEastAsia"/>
          <w:kern w:val="0"/>
          <w:szCs w:val="21"/>
        </w:rPr>
        <w:t>明代仁宗、宣宗到英宗正统前期，内阁的主要工作从“参预机务”转变为“纶言批答，裁决机宜，悉由票拟”，内阁已开始给人以“偃然汉、唐宰辅”的印象。这一时期，明代内阁（　　）</w:t>
      </w:r>
      <w:bookmarkEnd w:id="1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监督六部行政事务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直接管理地方政务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独立处理行政事务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辅助皇帝处理政务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2" w:name="topic_aa5b031d-7dfb-41c3-9ccd-e328b9ae0f"/>
      <w:r>
        <w:rPr>
          <w:rFonts w:hint="default" w:ascii="Times New Roman" w:hAnsi="Times New Roman" w:cs="Times New Roman" w:eastAsiaTheme="minorEastAsia"/>
          <w:kern w:val="0"/>
          <w:szCs w:val="21"/>
        </w:rPr>
        <w:t>票拟作为内阁的一项基本职权,皇帝可以干预,但不能废除;皇帝可以改票,但他在形式上还是要尊重内阁票拟。内阁常常在与皇帝意见不一时,有一票、再二票三票,乃至四五票,而不是皇帝亲自票拟批出。以下内容与材料符合的是</w:t>
      </w:r>
      <w:bookmarkEnd w:id="2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票拟对谕旨形成有一定约束力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票拟使内阁取得等同宰相的权力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内阁是皇帝的顾问与决策机构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内阁是明太祖基于政务烦冗而设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3" w:name="topic_08d9f6b0-0e01-40c8-8938-cf15e84be3"/>
      <w:r>
        <w:rPr>
          <w:rFonts w:hint="default" w:ascii="Times New Roman" w:hAnsi="Times New Roman" w:cs="Times New Roman" w:eastAsiaTheme="minorEastAsia"/>
          <w:kern w:val="0"/>
          <w:szCs w:val="21"/>
        </w:rPr>
        <w:t>明朝永乐帝时设立了内阁制，以内阁作为皇帝处理国政的助理机构。英国“光荣革命”之后，国王威廉三世逐渐以内阁代替枢密院，成为国王直辖的最高行政机关。下面关于两国内阁制的叙述，正确的是（　　）</w:t>
      </w:r>
      <w:bookmarkEnd w:id="3"/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内阁制的形成标志着两国的皇权得到空前强化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内阁已经成为两个国家最高权力的典型象征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明朝的内阁长官称宰相，英国的内阁长官称首相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明朝内阁是君主内侍机构，英国内阁是国家行政机构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4" w:name="topic_20ff613a-a8d1-418f-8693-11d61c3b2f"/>
      <w:r>
        <w:rPr>
          <w:rFonts w:hint="default" w:ascii="Times New Roman" w:hAnsi="Times New Roman" w:cs="Times New Roman" w:eastAsiaTheme="minorEastAsia"/>
          <w:kern w:val="0"/>
          <w:szCs w:val="21"/>
        </w:rPr>
        <w:t>康雍乾时期，清朝统治者为稳定和巩固国家疆域进行了不懈的努力，现代中国的版图在这一阶段完全奠定，下列不属于清朝经略边疆的措施是（　　）</w:t>
      </w:r>
      <w:bookmarkEnd w:id="4"/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设置台湾府，隶属于福建省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重修长城，防御瓦剌、鞑靼南下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平定大小和卓叛乱，设置伊犁将军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派遣驻藏大臣，与达赖、班禅共治西藏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5" w:name="topic_b20398d4-d330-4be2-85c1-7571ce03f2"/>
      <w:r>
        <w:rPr>
          <w:rFonts w:hint="default" w:ascii="Times New Roman" w:hAnsi="Times New Roman" w:cs="Times New Roman" w:eastAsiaTheme="minorEastAsia"/>
          <w:kern w:val="0"/>
          <w:szCs w:val="21"/>
        </w:rPr>
        <w:t>“雍正七年（1729 年），青海军事兴，始设军机房，领以亲王、大臣，予银印，印藏内奏事太监处，有事请而用之。”对这段材料理解中“军机房”的理解不正确的是（　　）</w:t>
      </w:r>
      <w:bookmarkEnd w:id="5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因军事需要而设置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由皇帝的亲信组成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参与国事决策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提高了行政效率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6" w:name="topic_a1a33ca7-ca4d-46b2-9ff7-81798dfa89"/>
      <w:r>
        <w:rPr>
          <w:rFonts w:hint="default" w:ascii="Times New Roman" w:hAnsi="Times New Roman" w:cs="Times New Roman" w:eastAsiaTheme="minorEastAsia"/>
          <w:kern w:val="0"/>
          <w:szCs w:val="21"/>
        </w:rPr>
        <w:t>清初设立军机处，“其制无公署，大小无专官”，严防亲王权臣乱政。但是清代中期以后，亲王入值军机处成为常态。如同治时期的恭亲王奕诉，宣统时期的庆亲王弈勖。这反映了（　　）</w:t>
      </w:r>
      <w:bookmarkEnd w:id="6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军机处权力失控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君主专制加强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军机处取代内阁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皇权逐渐削弱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7" w:name="topic_c1f5b01a-5493-4621-843f-74780234ac"/>
      <w:r>
        <w:rPr>
          <w:rFonts w:hint="default" w:ascii="Times New Roman" w:hAnsi="Times New Roman" w:cs="Times New Roman" w:eastAsiaTheme="minorEastAsia"/>
          <w:kern w:val="0"/>
          <w:szCs w:val="21"/>
        </w:rPr>
        <w:t>雍正帝设立军机处，逐步取代满族贵族议政的议政王大臣会议，削弱了内阁承皆出政的权力，它实际上成了凌驾于内阁、部院之上的中枢机构，这说明军机处（　　）</w:t>
      </w:r>
      <w:bookmarkEnd w:id="7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完善了中央行政体制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具有最高的决策大权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有助于强化君主专制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取代了内阁的票拟权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8" w:name="topic_ce595b17-b750-4e6d-9d08-766fd09c71"/>
      <w:r>
        <w:rPr>
          <w:rFonts w:hint="default" w:ascii="Times New Roman" w:hAnsi="Times New Roman" w:cs="Times New Roman" w:eastAsiaTheme="minorEastAsia"/>
          <w:kern w:val="0"/>
          <w:szCs w:val="21"/>
        </w:rPr>
        <w:t>达赖、班禅及其他大小活佛辞世后，要通过“灵童转世”的方法选择继任者。最初，势力庞大的农奴主，经常操纵“灵童”的人选。为解决这一问题，乾隆帝推行了（　　）</w:t>
      </w:r>
      <w:bookmarkEnd w:id="8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册封五世达赖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完善金瓶掣签制度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设立伊犁将军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实行改土归流政策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9" w:name="topic_9006cca6-bcfe-4df7-bcb0-9b3b9bc296"/>
      <w:r>
        <w:rPr>
          <w:rFonts w:hint="default" w:ascii="Times New Roman" w:hAnsi="Times New Roman" w:cs="Times New Roman" w:eastAsiaTheme="minorEastAsia"/>
          <w:kern w:val="0"/>
          <w:szCs w:val="21"/>
        </w:rPr>
        <w:t>明末清初，江南地区开始出现“棉争粮田”和“桑争稻田”的现象，大量原本种植粮食作物的土地被转而种植经济作物。如，松江府、太仓州的耕地在总体上已形成了稻田和棉田各占一半的格局，部分县的棉田面积超过了稻田面积。这反映了当时( )</w:t>
      </w:r>
      <w:bookmarkEnd w:id="9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手工业发展阻碍农业生产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江南地区形成新的生产方式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经济重心转移到江南地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商品经济发展影响粮食种植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10" w:name="topic_719cefe7-9f2a-4d7f-a383-8f8eafafe3"/>
      <w:r>
        <w:rPr>
          <w:rFonts w:hint="default" w:ascii="Times New Roman" w:hAnsi="Times New Roman" w:cs="Times New Roman" w:eastAsiaTheme="minorEastAsia"/>
          <w:kern w:val="0"/>
          <w:szCs w:val="21"/>
        </w:rPr>
        <w:t>明朝中期，常熟一地主购买大片沼泽，雇用乡民加以治理：部分土地改造为良田，凿水池用以养鱼，池上筑舍养猪，其余空地种植不同果木蔬菜，副产品运往市场销售，所得“视田之入复三倍”。这说明，此时江南（）</w:t>
      </w:r>
      <w:bookmarkEnd w:id="10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开始出现多种经营的农业经济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传统自然经济结构有所突破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资本主义的生产方式已经产生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商品经济进入新的繁荣时期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11" w:name="topic_7aa1d0f9-b64f-47e8-8d96-44564a75a9"/>
      <w:r>
        <w:rPr>
          <w:rFonts w:hint="default" w:ascii="Times New Roman" w:hAnsi="Times New Roman" w:cs="Times New Roman" w:eastAsiaTheme="minorEastAsia"/>
          <w:kern w:val="0"/>
          <w:szCs w:val="21"/>
        </w:rPr>
        <w:t>无论在西方还是东方，人们都喜欢拿处于同一时代的王阳明和马丁•路德作比较，有的西方学者更直接称王阳明为“中国的路德”。这是因为王阳明（　　）</w:t>
      </w:r>
      <w:bookmarkEnd w:id="11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敢于公开挑战孔孟正统思想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认为良知是人所固有的善性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提倡从自己内心中寻找“理”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强调先知后行提升自我修养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12" w:name="topic_d7a778ea-6af3-4957-9b00-7fcaf30936"/>
      <w:r>
        <w:rPr>
          <w:rFonts w:hint="default" w:ascii="Times New Roman" w:hAnsi="Times New Roman" w:cs="Times New Roman" w:eastAsiaTheme="minorEastAsia"/>
          <w:kern w:val="0"/>
          <w:szCs w:val="21"/>
        </w:rPr>
        <w:t>以铜活字排印最著名的大部头书，是雍正四年至六年清室内府排印的《古今图书集成》。全书共10040卷，部头之大，排印之精，著称于世。这说明（）</w:t>
      </w:r>
      <w:bookmarkEnd w:id="12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政府重视大型典籍编纂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活字印刷技术趋于成熟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国家力量推动文化发展</w:t>
      </w:r>
      <w:r>
        <w:rPr>
          <w:rFonts w:hint="default" w:ascii="Times New Roman" w:hAnsi="Times New Roman" w:cs="Times New Roman" w:eastAsiaTheme="minorEastAsia"/>
          <w:szCs w:val="21"/>
        </w:rPr>
        <w:tab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科技进步推动文化发展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13" w:name="topic_654f22a4-4d18-4273-8453-efc32be17f"/>
      <w:r>
        <w:rPr>
          <w:rFonts w:hint="default" w:ascii="Times New Roman" w:hAnsi="Times New Roman" w:cs="Times New Roman" w:eastAsiaTheme="minorEastAsia"/>
          <w:kern w:val="0"/>
          <w:szCs w:val="21"/>
        </w:rPr>
        <w:t>清政府曾规定：“一户所领之织机不得逾百张，以抑兼并，过则有罚。”这反映的实质是（　　）</w:t>
      </w:r>
      <w:bookmarkEnd w:id="13"/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A. 清政府限制手工工场规模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B. 明朝中后期资本主义萌芽出现</w:t>
      </w:r>
      <w:r>
        <w:rPr>
          <w:rFonts w:hint="default" w:ascii="Times New Roman" w:hAnsi="Times New Roman" w:cs="Times New Roman" w:eastAsiaTheme="minorEastAsia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C. 清朝前期大机户兼并小机户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D. 封建专制制度阻碍资本主义萌芽的成长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szCs w:val="21"/>
        </w:rPr>
      </w:pPr>
      <w:bookmarkStart w:id="14" w:name="topic_b9ad9329-b849-4bb6-9302-36796806ce"/>
      <w:r>
        <w:rPr>
          <w:rFonts w:hint="default" w:ascii="Times New Roman" w:hAnsi="Times New Roman" w:cs="Times New Roman" w:eastAsiaTheme="minorEastAsia"/>
          <w:kern w:val="0"/>
          <w:szCs w:val="21"/>
        </w:rPr>
        <w:t>阅读下列材料，回答问题。</w:t>
      </w:r>
    </w:p>
    <w:p>
      <w:pPr>
        <w:spacing w:line="360" w:lineRule="auto"/>
        <w:ind w:left="420"/>
        <w:textAlignment w:val="center"/>
        <w:rPr>
          <w:rFonts w:hint="default" w:ascii="楷体" w:hAnsi="楷体" w:eastAsia="楷体" w:cs="楷体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kern w:val="0"/>
          <w:szCs w:val="21"/>
        </w:rPr>
        <w:t>材料：</w:t>
      </w:r>
      <w:r>
        <w:rPr>
          <w:rFonts w:hint="default" w:ascii="楷体" w:hAnsi="楷体" w:eastAsia="楷体" w:cs="楷体"/>
          <w:kern w:val="0"/>
          <w:szCs w:val="21"/>
        </w:rPr>
        <w:t>1405—1433年，郑和七次出使西洋，声势最盛、影响最大的是永乐三年( 1405年)、永乐五年、永乐七年和永乐十一年。</w:t>
      </w:r>
    </w:p>
    <w:p>
      <w:pPr>
        <w:spacing w:line="360" w:lineRule="auto"/>
        <w:ind w:left="420"/>
        <w:textAlignment w:val="center"/>
        <w:rPr>
          <w:rFonts w:hint="default" w:ascii="楷体" w:hAnsi="楷体" w:eastAsia="楷体" w:cs="楷体"/>
          <w:kern w:val="0"/>
          <w:szCs w:val="21"/>
        </w:rPr>
      </w:pPr>
      <w:r>
        <w:rPr>
          <w:rFonts w:hint="default" w:ascii="楷体" w:hAnsi="楷体" w:eastAsia="楷体" w:cs="楷体"/>
          <w:kern w:val="0"/>
          <w:szCs w:val="21"/>
        </w:rPr>
        <w:t>永乐三年六月，郑和与太监王景弘开始奉命出使南洋群岛及印度洋一带。他率领一支有六十二艘船的船队，载有将士二万七千八百余人和大量金、帛、货物。此次出航，所历之地远至印度西岸。南洋各邦国使者随郑和前来朝见者甚多，明成祖非常高兴，加赐爵位俸禄不等。永乐五年九月，郑和复奉命出使西洋。郑和每到一处，颁布明朝皇帝诏书，立碑文。在离开锡兰后，郑和船队满载着各国贡献的珍奇异宝返航，永乐七年九月上旬回到南京。永乐七年九月下旬，郑和奉命第三次出航。永乐九年船队回京，随同前来朝贺者有十九国，当时的朝廷“万使云集”。</w:t>
      </w:r>
    </w:p>
    <w:p>
      <w:pPr>
        <w:spacing w:line="360" w:lineRule="auto"/>
        <w:ind w:left="420" w:leftChars="200" w:firstLine="2625" w:firstLineChars="1250"/>
        <w:jc w:val="right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——摘编自白寿彝总主编《中国通史》</w:t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（1）根据材料，概括郑和出使西洋的特点。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（2）根据材料并结合所学知识，分析郑和出使西洋的影响。</w:t>
      </w:r>
      <w:bookmarkEnd w:id="14"/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明清时期常被认为是中国社会转型的重要时期。阅读下列材料，回答问题。</w:t>
      </w:r>
    </w:p>
    <w:p>
      <w:pPr>
        <w:spacing w:line="360" w:lineRule="auto"/>
        <w:ind w:left="420"/>
        <w:textAlignment w:val="center"/>
        <w:rPr>
          <w:rFonts w:hint="eastAsia" w:ascii="楷体" w:hAnsi="楷体" w:eastAsia="楷体" w:cs="楷体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kern w:val="0"/>
          <w:szCs w:val="21"/>
        </w:rPr>
        <w:t>材料一</w:t>
      </w:r>
      <w:r>
        <w:rPr>
          <w:rFonts w:hint="eastAsia" w:ascii="Times New Roman" w:hAnsi="Times New Roman" w:cs="Times New Roman" w:eastAsiaTheme="minorEastAsia"/>
          <w:b/>
          <w:kern w:val="0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Cs w:val="21"/>
        </w:rPr>
        <w:t>中国的城市与商业一贯发达，但中国的商业与城市一向都是在体制内发展的，受社会主流体制的节制与约束。商人与社会上其他成员同流，并不具备超主流体制的特殊身份……而且，历朝历代都有非常强大的官办商业，这几乎成为中国社会的一大传统。</w:t>
      </w:r>
    </w:p>
    <w:p>
      <w:pPr>
        <w:spacing w:line="360" w:lineRule="auto"/>
        <w:ind w:left="420"/>
        <w:jc w:val="right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——钱乘旦《前资本主义世界发展：东方普遍性与西方特殊性》</w:t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kern w:val="0"/>
          <w:szCs w:val="21"/>
        </w:rPr>
        <w:t>材料二</w:t>
      </w:r>
      <w:r>
        <w:rPr>
          <w:rFonts w:hint="eastAsia" w:ascii="Times New Roman" w:hAnsi="Times New Roman" w:cs="Times New Roman" w:eastAsiaTheme="minorEastAsia"/>
          <w:b/>
          <w:kern w:val="0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Cs w:val="21"/>
        </w:rPr>
        <w:t>明清时，唐宋以来被称做“草市”的新型市镇得到充分发展。据统计，宋代江浙地区在行政中心之外，出现了 71个市镇，明代达316个，清代增至479个。市镇之间的直线距离不过数十里。一些市镇的规模与居住人口都超过府县治所，这些市镇充斥着牙行、布庄与手工作坊，收纳周边个体民户产品，进行深加工，吸引外地客商，行销远方市场。</w:t>
      </w:r>
    </w:p>
    <w:p>
      <w:pPr>
        <w:spacing w:line="360" w:lineRule="auto"/>
        <w:ind w:left="420"/>
        <w:jc w:val="right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——摘编自赵冈《中国城市发展史论集》</w:t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（1）依据材料一，说明古代中国控制城市商业发展的措施。 </w:t>
      </w: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（2）根据材料二，指出明清时期新型市镇“新”的表现。结合所学知识，分析这一时期我国社会经济转型的不利因素. 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page"/>
      </w:r>
    </w:p>
    <w:p>
      <w:pPr>
        <w:spacing w:line="360" w:lineRule="auto"/>
        <w:jc w:val="center"/>
        <w:textAlignment w:val="center"/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>参考答案</w:t>
      </w:r>
    </w:p>
    <w:p>
      <w:pPr>
        <w:spacing w:line="360" w:lineRule="auto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1.B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2.C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3.D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4.A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5.D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6.B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7.C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8.B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9.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B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10.B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11.D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12.B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13.C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14.</w:t>
      </w:r>
      <w:r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15.D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16.（1）特点：时间长，次数多；规模大，出使的人员、船队、货物多；范围广，远至东南亚、印度洋；以政治交往为主。</w:t>
      </w:r>
    </w:p>
    <w:p>
      <w:pPr>
        <w:spacing w:line="360" w:lineRule="auto"/>
        <w:textAlignment w:val="center"/>
        <w:rPr>
          <w:rFonts w:hint="default" w:ascii="Times New Roman" w:hAnsi="Times New Roman" w:cs="Times New Roman" w:eastAsiaTheme="minorEastAsia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（2）影响：加强了明朝与南洋、西洋的交流与联系；扩大了明朝在南洋、西洋的影响；郑和所进行的朝贡贸易，满足了统治者对异域珍宝的需求，但不利于国家经济发展。</w:t>
      </w:r>
    </w:p>
    <w:p>
      <w:pPr>
        <w:spacing w:line="360" w:lineRule="auto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kern w:val="0"/>
          <w:szCs w:val="21"/>
        </w:rPr>
        <w:t>17.（1）推行重农抑商政策；抑制商人社会地位；实行盐铁官营，抑制私营工商业。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  <w:r>
        <w:rPr>
          <w:rFonts w:hint="default" w:ascii="Times New Roman" w:hAnsi="Times New Roman" w:cs="Times New Roman" w:eastAsiaTheme="minorEastAsia"/>
          <w:kern w:val="0"/>
          <w:szCs w:val="21"/>
        </w:rPr>
        <w:t>（2）表现：以经营工商业为主；规模大；分布密集，形成较完善的城市网络；城乡联系密切。不利因素：自然经济仍然占据着主导地位；严格推行重农抑商和海禁政策；封建君主专制空前强化；传统观念的阻碍；传统科技的滞后性。</w:t>
      </w:r>
      <w:r>
        <w:rPr>
          <w:rFonts w:hint="default" w:ascii="Times New Roman" w:hAnsi="Times New Roman" w:cs="Times New Roman" w:eastAsiaTheme="minorEastAsia"/>
          <w:kern w:val="0"/>
          <w:szCs w:val="21"/>
        </w:rPr>
        <w:br w:type="textWrapping"/>
      </w:r>
    </w:p>
    <w:sectPr>
      <w:footerReference r:id="rId3" w:type="default"/>
      <w:footerReference r:id="rId4" w:type="even"/>
      <w:pgSz w:w="11906" w:h="16838"/>
      <w:pgMar w:top="1440" w:right="1080" w:bottom="1440" w:left="10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FF"/>
    <w:rsid w:val="00036C44"/>
    <w:rsid w:val="00061758"/>
    <w:rsid w:val="005130CF"/>
    <w:rsid w:val="005959FD"/>
    <w:rsid w:val="00855687"/>
    <w:rsid w:val="009E6EEA"/>
    <w:rsid w:val="00A16C3B"/>
    <w:rsid w:val="00A967FF"/>
    <w:rsid w:val="00BA52C6"/>
    <w:rsid w:val="00BC62FB"/>
    <w:rsid w:val="00E0191A"/>
    <w:rsid w:val="1A666041"/>
    <w:rsid w:val="2D2A27A7"/>
    <w:rsid w:val="58550B69"/>
    <w:rsid w:val="6C1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Subtle Emphasis"/>
    <w:basedOn w:val="7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bbc4077f6-5dfe-403a-a61b-ad1be718b530;e9a1d8242-3fe4-406c-8e7e-c1b388a0942c,416162aaa-e005-488a-9d50-fa5ce2461087,f9c24ed33-1207-4648-8655-dc451cce222f,6861c32e4-7a84-4adc-8626-8f089b650caa,38781c41c-b2f7-4fc3-ae5d-b81e0b32db00,73f18f206-94e3-4ee9-8f1d-f97d9e786e53,71991a6ea-47f9-462b-ad61-9705ac121a37,0ec964d52-a5ad-4aa9-9f3f-8d8008a0be40,7d36a513e-ae59-482a-a0c7-22556e627ee5,7d67e397e-3533-47ae-bee4-524fed996680,7a69d4048-642f-4b14-91be-dc8cbf583e7f,d277700ba-408c-492e-9e32-1cd5b0e18945,3835d9e9d-da9e-4d82-8f46-e099a00fee12,0759742bc-a906-4dfb-9aee-36a5f7a11d01,d1a61541f-5c9b-4694-8e57-7542f06296e1,ea1055ebc-9e6e-4230-a799-3ca378929d8a,1ed5d5d2c-5273-4af7-9abc-f0c771576171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F87BD-4147-4D08-82CF-C1E116D6352A}">
  <ds:schemaRefs/>
</ds:datastoreItem>
</file>

<file path=customXml/itemProps3.xml><?xml version="1.0" encoding="utf-8"?>
<ds:datastoreItem xmlns:ds="http://schemas.openxmlformats.org/officeDocument/2006/customXml" ds:itemID="{8994EC7B-E8F4-4F1C-81BB-F82BC5A59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2985</Words>
  <Characters>3114</Characters>
  <DocSecurity>0</DocSecurity>
  <Lines>23</Lines>
  <Paragraphs>6</Paragraphs>
  <ScaleCrop>false</ScaleCrop>
  <LinksUpToDate>false</LinksUpToDate>
  <CharactersWithSpaces>3222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2021-12-11T01:14:00Z</dcterms:created>
  <dcterms:modified xsi:type="dcterms:W3CDTF">2021-12-15T07:10:55Z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30B97A66853B45838637D110975EBB5B</vt:lpwstr>
  </property>
</Properties>
</file>