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5A458">
      <w:pPr>
        <w:spacing w:line="240" w:lineRule="auto"/>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安徽省皖江名校联盟2026届高三上学期期末联考</w:t>
      </w:r>
    </w:p>
    <w:p w14:paraId="201C2C1F">
      <w:pPr>
        <w:spacing w:line="240" w:lineRule="auto"/>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历史试题</w:t>
      </w:r>
      <w:bookmarkStart w:id="0" w:name="_GoBack"/>
      <w:bookmarkEnd w:id="0"/>
    </w:p>
    <w:p w14:paraId="24BC435D">
      <w:pPr>
        <w:pStyle w:val="2"/>
        <w:jc w:val="right"/>
        <w:rPr>
          <w:rFonts w:hint="default"/>
          <w:sz w:val="24"/>
          <w:szCs w:val="24"/>
          <w:lang w:val="en-US" w:eastAsia="zh-CN"/>
        </w:rPr>
      </w:pPr>
      <w:r>
        <w:rPr>
          <w:rFonts w:hint="eastAsia" w:hAnsi="黑体" w:cs="黑体"/>
          <w:b/>
          <w:bCs/>
          <w:sz w:val="24"/>
          <w:szCs w:val="24"/>
          <w:lang w:val="en-US" w:eastAsia="zh-CN"/>
        </w:rPr>
        <w:t>2026.2</w:t>
      </w:r>
    </w:p>
    <w:p w14:paraId="7DE5F608">
      <w:pPr>
        <w:pStyle w:val="9"/>
        <w:keepNext w:val="0"/>
        <w:keepLines w:val="0"/>
        <w:pageBreakBefore w:val="0"/>
        <w:widowControl w:val="0"/>
        <w:kinsoku/>
        <w:wordWrap/>
        <w:overflowPunct/>
        <w:topLinePunct w:val="0"/>
        <w:autoSpaceDE/>
        <w:autoSpaceDN/>
        <w:bidi w:val="0"/>
        <w:adjustRightInd/>
        <w:snapToGrid/>
        <w:spacing w:line="240" w:lineRule="auto"/>
        <w:jc w:val="both"/>
        <w:rPr>
          <w:rFonts w:ascii="宋体" w:hAnsi="宋体" w:cs="黑体"/>
          <w:b/>
          <w:color w:val="000000"/>
          <w:kern w:val="2"/>
          <w:sz w:val="21"/>
          <w:szCs w:val="21"/>
        </w:rPr>
      </w:pPr>
      <w:r>
        <w:rPr>
          <w:rFonts w:hint="eastAsia" w:ascii="宋体" w:hAnsi="宋体" w:cs="黑体"/>
          <w:b/>
          <w:bCs/>
          <w:color w:val="000000"/>
          <w:kern w:val="2"/>
          <w:sz w:val="21"/>
          <w:szCs w:val="21"/>
        </w:rPr>
        <w:t>一、选择题（本大题</w:t>
      </w:r>
      <w:r>
        <w:rPr>
          <w:rFonts w:hint="eastAsia" w:ascii="宋体" w:hAnsi="宋体" w:cs="黑体"/>
          <w:b/>
          <w:color w:val="000000"/>
          <w:kern w:val="2"/>
          <w:sz w:val="21"/>
          <w:szCs w:val="21"/>
        </w:rPr>
        <w:t>共1</w:t>
      </w:r>
      <w:r>
        <w:rPr>
          <w:rFonts w:hint="eastAsia" w:ascii="宋体" w:hAnsi="宋体" w:cs="黑体"/>
          <w:b/>
          <w:color w:val="000000"/>
          <w:kern w:val="2"/>
          <w:sz w:val="21"/>
          <w:szCs w:val="21"/>
          <w:lang w:val="en-US" w:eastAsia="zh-CN"/>
        </w:rPr>
        <w:t>5</w:t>
      </w:r>
      <w:r>
        <w:rPr>
          <w:rFonts w:hint="eastAsia" w:ascii="宋体" w:hAnsi="宋体" w:cs="黑体"/>
          <w:b/>
          <w:color w:val="000000"/>
          <w:kern w:val="2"/>
          <w:sz w:val="21"/>
          <w:szCs w:val="21"/>
        </w:rPr>
        <w:t>小题，每小题3分，共计4</w:t>
      </w:r>
      <w:r>
        <w:rPr>
          <w:rFonts w:hint="eastAsia" w:ascii="宋体" w:hAnsi="宋体" w:cs="黑体"/>
          <w:b/>
          <w:color w:val="000000"/>
          <w:kern w:val="2"/>
          <w:sz w:val="21"/>
          <w:szCs w:val="21"/>
          <w:lang w:val="en-US" w:eastAsia="zh-CN"/>
        </w:rPr>
        <w:t>5</w:t>
      </w:r>
      <w:r>
        <w:rPr>
          <w:rFonts w:hint="eastAsia" w:ascii="宋体" w:hAnsi="宋体" w:cs="黑体"/>
          <w:b/>
          <w:color w:val="000000"/>
          <w:kern w:val="2"/>
          <w:sz w:val="21"/>
          <w:szCs w:val="21"/>
        </w:rPr>
        <w:t>分。在每小题列出的四个选项中，选出最符合题目要求的一项。</w:t>
      </w:r>
      <w:r>
        <w:rPr>
          <w:rFonts w:hint="eastAsia" w:ascii="宋体" w:hAnsi="宋体" w:cs="黑体"/>
          <w:b/>
          <w:bCs/>
          <w:color w:val="000000"/>
          <w:kern w:val="2"/>
          <w:sz w:val="21"/>
          <w:szCs w:val="21"/>
        </w:rPr>
        <w:t>）</w:t>
      </w:r>
    </w:p>
    <w:p w14:paraId="71B2862C">
      <w:pPr>
        <w:shd w:val="clear" w:color="auto" w:fill="auto"/>
        <w:spacing w:line="240" w:lineRule="auto"/>
        <w:jc w:val="left"/>
        <w:textAlignment w:val="center"/>
        <w:rPr>
          <w:sz w:val="21"/>
        </w:rPr>
      </w:pPr>
      <w:r>
        <w:rPr>
          <w:sz w:val="21"/>
        </w:rPr>
        <w:t>1．辽宁牛河梁遗址中发现多座土石混筑的台基建筑，总面积达6万平方米，台基上分布着女神庙、祭祀坑等礼制建筑遗存。考古证实，这些礼制建筑始建于距今5800年的红山文化中期，当时红山社会营建了超大规模的礼仪中心，并逐步形成了“敬天、礼地、法祖”的祭祀礼仪体系。这说明当时牛河梁地区（</w:t>
      </w:r>
      <w:r>
        <w:rPr>
          <w:rFonts w:ascii="Times New Roman" w:hAnsi="Times New Roman" w:eastAsia="Times New Roman" w:cs="Times New Roman"/>
          <w:kern w:val="0"/>
          <w:sz w:val="24"/>
          <w:szCs w:val="24"/>
        </w:rPr>
        <w:t>   </w:t>
      </w:r>
      <w:r>
        <w:rPr>
          <w:sz w:val="21"/>
        </w:rPr>
        <w:t>）</w:t>
      </w:r>
    </w:p>
    <w:p w14:paraId="1A562BF1">
      <w:pPr>
        <w:shd w:val="clear" w:color="auto" w:fill="auto"/>
        <w:tabs>
          <w:tab w:val="left" w:pos="4156"/>
        </w:tabs>
        <w:spacing w:line="240" w:lineRule="auto"/>
        <w:ind w:left="300"/>
        <w:jc w:val="center"/>
        <w:textAlignment w:val="center"/>
        <w:rPr>
          <w:sz w:val="21"/>
        </w:rPr>
      </w:pPr>
      <w:r>
        <w:rPr>
          <w:rFonts w:ascii="宋体" w:hAnsi="宋体" w:eastAsia="宋体" w:cs="宋体"/>
          <w:sz w:val="24"/>
          <w:szCs w:val="24"/>
        </w:rPr>
        <w:drawing>
          <wp:inline distT="0" distB="0" distL="114300" distR="114300">
            <wp:extent cx="2637790" cy="1976755"/>
            <wp:effectExtent l="0" t="0" r="10160" b="44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a:stretch>
                      <a:fillRect/>
                    </a:stretch>
                  </pic:blipFill>
                  <pic:spPr>
                    <a:xfrm>
                      <a:off x="0" y="0"/>
                      <a:ext cx="2637790" cy="1976755"/>
                    </a:xfrm>
                    <a:prstGeom prst="rect">
                      <a:avLst/>
                    </a:prstGeom>
                    <a:noFill/>
                    <a:ln w="9525">
                      <a:noFill/>
                    </a:ln>
                  </pic:spPr>
                </pic:pic>
              </a:graphicData>
            </a:graphic>
          </wp:inline>
        </w:drawing>
      </w:r>
    </w:p>
    <w:p w14:paraId="157622BC">
      <w:pPr>
        <w:shd w:val="clear" w:color="auto" w:fill="auto"/>
        <w:tabs>
          <w:tab w:val="left" w:pos="4156"/>
        </w:tabs>
        <w:spacing w:line="240" w:lineRule="auto"/>
        <w:ind w:left="300"/>
        <w:jc w:val="left"/>
        <w:textAlignment w:val="center"/>
        <w:rPr>
          <w:sz w:val="21"/>
        </w:rPr>
      </w:pPr>
      <w:r>
        <w:rPr>
          <w:sz w:val="21"/>
        </w:rPr>
        <w:t>A．基本确立了王权统治</w:t>
      </w:r>
      <w:r>
        <w:rPr>
          <w:sz w:val="21"/>
        </w:rPr>
        <w:tab/>
      </w:r>
      <w:r>
        <w:rPr>
          <w:sz w:val="21"/>
        </w:rPr>
        <w:t>B．呈现宗法血缘社会特征</w:t>
      </w:r>
    </w:p>
    <w:p w14:paraId="0C2EC271">
      <w:pPr>
        <w:shd w:val="clear" w:color="auto" w:fill="auto"/>
        <w:tabs>
          <w:tab w:val="left" w:pos="4156"/>
        </w:tabs>
        <w:spacing w:line="240" w:lineRule="auto"/>
        <w:ind w:left="300"/>
        <w:jc w:val="left"/>
        <w:textAlignment w:val="center"/>
        <w:rPr>
          <w:sz w:val="21"/>
        </w:rPr>
      </w:pPr>
      <w:r>
        <w:rPr>
          <w:sz w:val="21"/>
        </w:rPr>
        <w:t>C．实现对周边文明统合</w:t>
      </w:r>
      <w:r>
        <w:rPr>
          <w:sz w:val="21"/>
        </w:rPr>
        <w:tab/>
      </w:r>
      <w:r>
        <w:rPr>
          <w:sz w:val="21"/>
        </w:rPr>
        <w:t>D．具备一定社会组织能力</w:t>
      </w:r>
    </w:p>
    <w:p w14:paraId="04B6FB64">
      <w:pPr>
        <w:shd w:val="clear" w:color="auto" w:fill="auto"/>
        <w:spacing w:line="240" w:lineRule="auto"/>
        <w:jc w:val="left"/>
        <w:textAlignment w:val="center"/>
        <w:rPr>
          <w:sz w:val="21"/>
        </w:rPr>
      </w:pPr>
      <w:r>
        <w:rPr>
          <w:sz w:val="21"/>
        </w:rPr>
        <w:t>2．《史记》记载“乐者，通于伦理者也”。晋人阮籍则说“夫乐者，天地之体，万物之性也昔者圣人之作乐也，将以顺天地之性，体万物之生也。由此，男女不易其行，君臣不犯其位”。这种变化反映了（</w:t>
      </w:r>
      <w:r>
        <w:rPr>
          <w:rFonts w:ascii="Times New Roman" w:hAnsi="Times New Roman" w:eastAsia="Times New Roman" w:cs="Times New Roman"/>
          <w:kern w:val="0"/>
          <w:sz w:val="24"/>
          <w:szCs w:val="24"/>
        </w:rPr>
        <w:t>   </w:t>
      </w:r>
      <w:r>
        <w:rPr>
          <w:sz w:val="21"/>
        </w:rPr>
        <w:t>）</w:t>
      </w:r>
    </w:p>
    <w:p w14:paraId="2B978C79">
      <w:pPr>
        <w:shd w:val="clear" w:color="auto" w:fill="auto"/>
        <w:tabs>
          <w:tab w:val="left" w:pos="4156"/>
        </w:tabs>
        <w:spacing w:line="240" w:lineRule="auto"/>
        <w:ind w:left="300"/>
        <w:jc w:val="left"/>
        <w:textAlignment w:val="center"/>
        <w:rPr>
          <w:sz w:val="21"/>
        </w:rPr>
      </w:pPr>
      <w:r>
        <w:rPr>
          <w:sz w:val="21"/>
        </w:rPr>
        <w:t>A．礼乐制度走向崩溃</w:t>
      </w:r>
      <w:r>
        <w:rPr>
          <w:sz w:val="21"/>
        </w:rPr>
        <w:tab/>
      </w:r>
      <w:r>
        <w:rPr>
          <w:sz w:val="21"/>
        </w:rPr>
        <w:t>B．君臣等级秩序受到冲击</w:t>
      </w:r>
    </w:p>
    <w:p w14:paraId="2502A96E">
      <w:pPr>
        <w:shd w:val="clear" w:color="auto" w:fill="auto"/>
        <w:tabs>
          <w:tab w:val="left" w:pos="4156"/>
        </w:tabs>
        <w:spacing w:line="240" w:lineRule="auto"/>
        <w:ind w:left="300"/>
        <w:jc w:val="left"/>
        <w:textAlignment w:val="center"/>
        <w:rPr>
          <w:sz w:val="21"/>
        </w:rPr>
      </w:pPr>
      <w:r>
        <w:rPr>
          <w:sz w:val="21"/>
        </w:rPr>
        <w:t>C．儒道思想融合趋势</w:t>
      </w:r>
      <w:r>
        <w:rPr>
          <w:sz w:val="21"/>
        </w:rPr>
        <w:tab/>
      </w:r>
      <w:r>
        <w:rPr>
          <w:sz w:val="21"/>
        </w:rPr>
        <w:t>D．音乐的伦理功能遭摒弃</w:t>
      </w:r>
    </w:p>
    <w:p w14:paraId="2FA1B139">
      <w:pPr>
        <w:shd w:val="clear" w:color="auto" w:fill="auto"/>
        <w:spacing w:line="240" w:lineRule="auto"/>
        <w:jc w:val="left"/>
        <w:textAlignment w:val="center"/>
        <w:rPr>
          <w:sz w:val="21"/>
        </w:rPr>
      </w:pPr>
      <w:r>
        <w:rPr>
          <w:sz w:val="21"/>
        </w:rPr>
        <w:t>3．下表是唐天宝十四年（755年）和乾元三年（760年）课户和课口数据统计。</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21"/>
        <w:gridCol w:w="1371"/>
        <w:gridCol w:w="1336"/>
        <w:gridCol w:w="1613"/>
        <w:gridCol w:w="2678"/>
      </w:tblGrid>
      <w:tr w14:paraId="6D31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31" w:hRule="atLeast"/>
          <w:jc w:val="center"/>
        </w:trPr>
        <w:tc>
          <w:tcPr>
            <w:tcW w:w="1521"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FF02E1">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时间</w:t>
            </w:r>
          </w:p>
        </w:tc>
        <w:tc>
          <w:tcPr>
            <w:tcW w:w="6998" w:type="dxa"/>
            <w:gridSpan w:val="4"/>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95AEC3">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户数</w:t>
            </w:r>
          </w:p>
        </w:tc>
      </w:tr>
      <w:tr w14:paraId="3509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35" w:hRule="atLeast"/>
          <w:jc w:val="center"/>
        </w:trPr>
        <w:tc>
          <w:tcPr>
            <w:vMerge w:val="continue"/>
            <w:tcBorders>
              <w:top w:val="single" w:color="000000" w:sz="6" w:space="0"/>
              <w:left w:val="single" w:color="000000" w:sz="6" w:space="0"/>
              <w:bottom w:val="single" w:color="000000" w:sz="6" w:space="0"/>
              <w:right w:val="single" w:color="000000" w:sz="6" w:space="0"/>
            </w:tcBorders>
          </w:tcPr>
          <w:p w14:paraId="54A92FD7">
            <w:pPr>
              <w:shd w:val="clear" w:color="auto" w:fill="auto"/>
              <w:spacing w:line="240" w:lineRule="auto"/>
              <w:jc w:val="left"/>
              <w:textAlignment w:val="center"/>
              <w:rPr>
                <w:rFonts w:hint="eastAsia" w:ascii="楷体" w:hAnsi="楷体" w:eastAsia="楷体" w:cs="楷体"/>
                <w:sz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896C60">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总户数</w:t>
            </w:r>
          </w:p>
        </w:tc>
        <w:tc>
          <w:tcPr>
            <w:tcW w:w="133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D6A299">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不课户</w:t>
            </w:r>
          </w:p>
        </w:tc>
        <w:tc>
          <w:tcPr>
            <w:tcW w:w="161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8F44DB">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课户</w:t>
            </w:r>
          </w:p>
        </w:tc>
        <w:tc>
          <w:tcPr>
            <w:tcW w:w="267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5BF857">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课户占总户数的比重（%）</w:t>
            </w:r>
          </w:p>
        </w:tc>
      </w:tr>
      <w:tr w14:paraId="47B9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31" w:hRule="atLeast"/>
          <w:jc w:val="center"/>
        </w:trPr>
        <w:tc>
          <w:tcPr>
            <w:tcW w:w="152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A2BD8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天宝十四年</w:t>
            </w:r>
          </w:p>
        </w:tc>
        <w:tc>
          <w:tcPr>
            <w:tcW w:w="137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5638CD">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8914709</w:t>
            </w:r>
          </w:p>
        </w:tc>
        <w:tc>
          <w:tcPr>
            <w:tcW w:w="133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E05667">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3565501</w:t>
            </w:r>
          </w:p>
        </w:tc>
        <w:tc>
          <w:tcPr>
            <w:tcW w:w="161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C48CB1">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5349208</w:t>
            </w:r>
          </w:p>
        </w:tc>
        <w:tc>
          <w:tcPr>
            <w:tcW w:w="267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BC9817">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60</w:t>
            </w:r>
          </w:p>
        </w:tc>
      </w:tr>
      <w:tr w14:paraId="59FC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31" w:hRule="atLeast"/>
          <w:jc w:val="center"/>
        </w:trPr>
        <w:tc>
          <w:tcPr>
            <w:tcW w:w="152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FEC29C">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乾元三年</w:t>
            </w:r>
          </w:p>
        </w:tc>
        <w:tc>
          <w:tcPr>
            <w:tcW w:w="137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F0C095">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1933174</w:t>
            </w:r>
          </w:p>
        </w:tc>
        <w:tc>
          <w:tcPr>
            <w:tcW w:w="133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AD33C5">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1174592</w:t>
            </w:r>
          </w:p>
        </w:tc>
        <w:tc>
          <w:tcPr>
            <w:tcW w:w="161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8DBB1C">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758582</w:t>
            </w:r>
          </w:p>
        </w:tc>
        <w:tc>
          <w:tcPr>
            <w:tcW w:w="267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CC1B45">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39</w:t>
            </w:r>
          </w:p>
        </w:tc>
      </w:tr>
      <w:tr w14:paraId="492C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31" w:hRule="atLeast"/>
          <w:jc w:val="center"/>
        </w:trPr>
        <w:tc>
          <w:tcPr>
            <w:tcW w:w="1521"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2B8C25">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时间</w:t>
            </w:r>
          </w:p>
        </w:tc>
        <w:tc>
          <w:tcPr>
            <w:tcW w:w="6998" w:type="dxa"/>
            <w:gridSpan w:val="4"/>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1E0B17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口数</w:t>
            </w:r>
          </w:p>
        </w:tc>
      </w:tr>
      <w:tr w14:paraId="1FE5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jc w:val="center"/>
        </w:trPr>
        <w:tc>
          <w:tcPr>
            <w:vMerge w:val="continue"/>
            <w:tcBorders>
              <w:top w:val="single" w:color="000000" w:sz="6" w:space="0"/>
              <w:left w:val="single" w:color="000000" w:sz="6" w:space="0"/>
              <w:bottom w:val="single" w:color="000000" w:sz="6" w:space="0"/>
              <w:right w:val="single" w:color="000000" w:sz="6" w:space="0"/>
            </w:tcBorders>
          </w:tcPr>
          <w:p w14:paraId="0AC047C6">
            <w:pPr>
              <w:shd w:val="clear" w:color="auto" w:fill="auto"/>
              <w:spacing w:line="240" w:lineRule="auto"/>
              <w:jc w:val="left"/>
              <w:textAlignment w:val="center"/>
              <w:rPr>
                <w:rFonts w:hint="eastAsia" w:ascii="楷体" w:hAnsi="楷体" w:eastAsia="楷体" w:cs="楷体"/>
                <w:sz w:val="21"/>
              </w:rPr>
            </w:pPr>
          </w:p>
        </w:tc>
        <w:tc>
          <w:tcPr>
            <w:tcW w:w="137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DE11B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总口数</w:t>
            </w:r>
          </w:p>
        </w:tc>
        <w:tc>
          <w:tcPr>
            <w:tcW w:w="133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F71E0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不课口</w:t>
            </w:r>
          </w:p>
        </w:tc>
        <w:tc>
          <w:tcPr>
            <w:tcW w:w="161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CCD438">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课口</w:t>
            </w:r>
          </w:p>
        </w:tc>
        <w:tc>
          <w:tcPr>
            <w:tcW w:w="267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D573E3">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课口占总户数的比重（%）</w:t>
            </w:r>
          </w:p>
        </w:tc>
      </w:tr>
      <w:tr w14:paraId="5F3F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31" w:hRule="atLeast"/>
          <w:jc w:val="center"/>
        </w:trPr>
        <w:tc>
          <w:tcPr>
            <w:tcW w:w="152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DB9D5D">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天宝十四年</w:t>
            </w:r>
          </w:p>
        </w:tc>
        <w:tc>
          <w:tcPr>
            <w:tcW w:w="137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05980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52909309</w:t>
            </w:r>
          </w:p>
        </w:tc>
        <w:tc>
          <w:tcPr>
            <w:tcW w:w="133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0CC8E7">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44700988</w:t>
            </w:r>
          </w:p>
        </w:tc>
        <w:tc>
          <w:tcPr>
            <w:tcW w:w="161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78FC66">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8208321</w:t>
            </w:r>
          </w:p>
        </w:tc>
        <w:tc>
          <w:tcPr>
            <w:tcW w:w="267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121925">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16</w:t>
            </w:r>
          </w:p>
        </w:tc>
      </w:tr>
      <w:tr w14:paraId="5886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38" w:hRule="atLeast"/>
          <w:jc w:val="center"/>
        </w:trPr>
        <w:tc>
          <w:tcPr>
            <w:tcW w:w="152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63CD71">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乾元三年</w:t>
            </w:r>
          </w:p>
        </w:tc>
        <w:tc>
          <w:tcPr>
            <w:tcW w:w="137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23FB74">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16990386</w:t>
            </w:r>
          </w:p>
        </w:tc>
        <w:tc>
          <w:tcPr>
            <w:tcW w:w="133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9B760D">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14619587</w:t>
            </w:r>
          </w:p>
        </w:tc>
        <w:tc>
          <w:tcPr>
            <w:tcW w:w="161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E919A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2370799</w:t>
            </w:r>
          </w:p>
        </w:tc>
        <w:tc>
          <w:tcPr>
            <w:tcW w:w="267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812721">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14</w:t>
            </w:r>
          </w:p>
        </w:tc>
      </w:tr>
    </w:tbl>
    <w:p w14:paraId="1219CB84">
      <w:pPr>
        <w:shd w:val="clear" w:color="auto" w:fill="auto"/>
        <w:spacing w:line="240" w:lineRule="auto"/>
        <w:jc w:val="left"/>
        <w:textAlignment w:val="center"/>
        <w:rPr>
          <w:sz w:val="21"/>
        </w:rPr>
      </w:pPr>
      <w:r>
        <w:rPr>
          <w:sz w:val="21"/>
        </w:rPr>
        <w:t>表中数据反映出当时（</w:t>
      </w:r>
      <w:r>
        <w:rPr>
          <w:rFonts w:ascii="Times New Roman" w:hAnsi="Times New Roman" w:eastAsia="Times New Roman" w:cs="Times New Roman"/>
          <w:kern w:val="0"/>
          <w:sz w:val="24"/>
          <w:szCs w:val="24"/>
        </w:rPr>
        <w:t>   </w:t>
      </w:r>
      <w:r>
        <w:rPr>
          <w:sz w:val="21"/>
        </w:rPr>
        <w:t>）</w:t>
      </w:r>
    </w:p>
    <w:p w14:paraId="6CBE2C16">
      <w:pPr>
        <w:shd w:val="clear" w:color="auto" w:fill="auto"/>
        <w:spacing w:line="240" w:lineRule="auto"/>
        <w:ind w:left="300"/>
        <w:jc w:val="left"/>
        <w:textAlignment w:val="center"/>
        <w:rPr>
          <w:sz w:val="21"/>
        </w:rPr>
      </w:pPr>
      <w:r>
        <w:rPr>
          <w:sz w:val="21"/>
        </w:rPr>
        <w:t>A．财政危机严重亟需进行改革</w:t>
      </w:r>
      <w:r>
        <w:rPr>
          <w:rFonts w:hint="eastAsia"/>
          <w:sz w:val="21"/>
          <w:lang w:val="en-US" w:eastAsia="zh-CN"/>
        </w:rPr>
        <w:t xml:space="preserve">          </w:t>
      </w:r>
      <w:r>
        <w:rPr>
          <w:sz w:val="21"/>
        </w:rPr>
        <w:t>B．赋役征发沉重课户生活窘迫</w:t>
      </w:r>
    </w:p>
    <w:p w14:paraId="16000923">
      <w:pPr>
        <w:shd w:val="clear" w:color="auto" w:fill="auto"/>
        <w:spacing w:line="240" w:lineRule="auto"/>
        <w:ind w:left="300"/>
        <w:jc w:val="left"/>
        <w:textAlignment w:val="center"/>
        <w:rPr>
          <w:sz w:val="21"/>
        </w:rPr>
      </w:pPr>
      <w:r>
        <w:rPr>
          <w:sz w:val="21"/>
        </w:rPr>
        <w:t>C．户籍制度紊乱人口核查困难</w:t>
      </w:r>
      <w:r>
        <w:rPr>
          <w:rFonts w:hint="eastAsia"/>
          <w:sz w:val="21"/>
          <w:lang w:val="en-US" w:eastAsia="zh-CN"/>
        </w:rPr>
        <w:t xml:space="preserve">          </w:t>
      </w:r>
      <w:r>
        <w:rPr>
          <w:sz w:val="21"/>
        </w:rPr>
        <w:t>D．吏治腐败严重影响行政效能</w:t>
      </w:r>
    </w:p>
    <w:p w14:paraId="04098376">
      <w:pPr>
        <w:shd w:val="clear" w:color="auto" w:fill="auto"/>
        <w:spacing w:line="240" w:lineRule="auto"/>
        <w:jc w:val="left"/>
        <w:textAlignment w:val="center"/>
        <w:rPr>
          <w:sz w:val="21"/>
        </w:rPr>
      </w:pPr>
      <w:r>
        <w:rPr>
          <w:sz w:val="21"/>
        </w:rPr>
        <w:t>4．《宋史·职官志》载，转运使掌一路财赋；提刑司掌察所部之狱讼，兼掌举刺官吏之事，凡财用有疑者，可以进行审问；南宋李心传《建炎以来系年要录》载，安抚司“凡兵民之政皆总焉，然须与转运、提刑司通议乃行”。这些史料反映出宋代（</w:t>
      </w:r>
      <w:r>
        <w:rPr>
          <w:rFonts w:ascii="Times New Roman" w:hAnsi="Times New Roman" w:eastAsia="Times New Roman" w:cs="Times New Roman"/>
          <w:kern w:val="0"/>
          <w:sz w:val="24"/>
          <w:szCs w:val="24"/>
        </w:rPr>
        <w:t>   </w:t>
      </w:r>
      <w:r>
        <w:rPr>
          <w:sz w:val="21"/>
        </w:rPr>
        <w:t>）</w:t>
      </w:r>
    </w:p>
    <w:p w14:paraId="623EACDE">
      <w:pPr>
        <w:shd w:val="clear" w:color="auto" w:fill="auto"/>
        <w:tabs>
          <w:tab w:val="left" w:pos="4156"/>
        </w:tabs>
        <w:spacing w:line="240" w:lineRule="auto"/>
        <w:ind w:left="300"/>
        <w:jc w:val="left"/>
        <w:textAlignment w:val="center"/>
        <w:rPr>
          <w:sz w:val="21"/>
        </w:rPr>
      </w:pPr>
      <w:r>
        <w:rPr>
          <w:sz w:val="21"/>
        </w:rPr>
        <w:t>A．路级机构权力运作比较规范</w:t>
      </w:r>
      <w:r>
        <w:rPr>
          <w:sz w:val="21"/>
        </w:rPr>
        <w:tab/>
      </w:r>
      <w:r>
        <w:rPr>
          <w:sz w:val="21"/>
        </w:rPr>
        <w:t>B．转运司成为地方行政中心</w:t>
      </w:r>
    </w:p>
    <w:p w14:paraId="76F5F334">
      <w:pPr>
        <w:shd w:val="clear" w:color="auto" w:fill="auto"/>
        <w:tabs>
          <w:tab w:val="left" w:pos="4156"/>
        </w:tabs>
        <w:spacing w:line="240" w:lineRule="auto"/>
        <w:ind w:left="300"/>
        <w:jc w:val="left"/>
        <w:textAlignment w:val="center"/>
        <w:rPr>
          <w:sz w:val="21"/>
        </w:rPr>
      </w:pPr>
      <w:r>
        <w:rPr>
          <w:sz w:val="21"/>
        </w:rPr>
        <w:t>C．地方三权分立加强中央集权</w:t>
      </w:r>
      <w:r>
        <w:rPr>
          <w:sz w:val="21"/>
        </w:rPr>
        <w:tab/>
      </w:r>
      <w:r>
        <w:rPr>
          <w:sz w:val="21"/>
        </w:rPr>
        <w:t>D．改变了州县两级行政层级</w:t>
      </w:r>
    </w:p>
    <w:p w14:paraId="56438B75">
      <w:pPr>
        <w:shd w:val="clear" w:color="auto" w:fill="auto"/>
        <w:spacing w:line="240" w:lineRule="auto"/>
        <w:jc w:val="left"/>
        <w:textAlignment w:val="center"/>
        <w:rPr>
          <w:sz w:val="21"/>
        </w:rPr>
      </w:pPr>
      <w:r>
        <w:rPr>
          <w:sz w:val="21"/>
        </w:rPr>
        <w:t>5．下表所示为明清时期有关绘画的言论。对这些言论出现的原因解读合理的是（</w:t>
      </w:r>
      <w:r>
        <w:rPr>
          <w:rFonts w:ascii="Times New Roman" w:hAnsi="Times New Roman" w:eastAsia="Times New Roman" w:cs="Times New Roman"/>
          <w:kern w:val="0"/>
          <w:sz w:val="24"/>
          <w:szCs w:val="24"/>
        </w:rPr>
        <w:t>   </w:t>
      </w:r>
      <w:r>
        <w:rPr>
          <w:sz w:val="21"/>
        </w:rPr>
        <w:t>）</w:t>
      </w:r>
    </w:p>
    <w:tbl>
      <w:tblPr>
        <w:tblStyle w:val="5"/>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380"/>
        <w:gridCol w:w="1699"/>
      </w:tblGrid>
      <w:tr w14:paraId="1D12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0" w:hRule="atLeast"/>
          <w:jc w:val="center"/>
        </w:trPr>
        <w:tc>
          <w:tcPr>
            <w:tcW w:w="63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3AA32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言论</w:t>
            </w:r>
          </w:p>
        </w:tc>
        <w:tc>
          <w:tcPr>
            <w:tcW w:w="169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5B65B1">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出处</w:t>
            </w:r>
          </w:p>
        </w:tc>
      </w:tr>
      <w:tr w14:paraId="63E3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04" w:hRule="atLeast"/>
          <w:jc w:val="center"/>
        </w:trPr>
        <w:tc>
          <w:tcPr>
            <w:tcW w:w="63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A9E517">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张融有言：“不恨臣无二王法，恨二王无臣法。”今问南北宗，我宗耶?宗我耶?一时捧腹曰：“我自用我法。”</w:t>
            </w:r>
          </w:p>
        </w:tc>
        <w:tc>
          <w:tcPr>
            <w:tcW w:w="169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E3EB9C">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《榆巢杂识》</w:t>
            </w:r>
          </w:p>
        </w:tc>
      </w:tr>
      <w:tr w14:paraId="49F5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68" w:hRule="atLeast"/>
          <w:jc w:val="center"/>
        </w:trPr>
        <w:tc>
          <w:tcPr>
            <w:tcW w:w="63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932F83">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范玑说：“临与仿不同，临有对临、背临，用心在彼。仿有略仿、合仿，主见在我。临有我则失真矣，仿无我则成假矣......而我用我法......”</w:t>
            </w:r>
          </w:p>
        </w:tc>
        <w:tc>
          <w:tcPr>
            <w:tcW w:w="169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3A95F7">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《过云庐画论》</w:t>
            </w:r>
          </w:p>
        </w:tc>
      </w:tr>
      <w:tr w14:paraId="250C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20" w:hRule="atLeast"/>
          <w:jc w:val="center"/>
        </w:trPr>
        <w:tc>
          <w:tcPr>
            <w:tcW w:w="63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817163">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松年认为：“吾辈处世不可一事有我，惟作书画必须处处有我。我者何?独成一家之谓耳。”</w:t>
            </w:r>
          </w:p>
        </w:tc>
        <w:tc>
          <w:tcPr>
            <w:tcW w:w="1699"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594276">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《颐园论画》</w:t>
            </w:r>
          </w:p>
        </w:tc>
      </w:tr>
    </w:tbl>
    <w:p w14:paraId="27F56F62">
      <w:pPr>
        <w:shd w:val="clear" w:color="auto" w:fill="auto"/>
        <w:tabs>
          <w:tab w:val="left" w:pos="4156"/>
        </w:tabs>
        <w:spacing w:line="240" w:lineRule="auto"/>
        <w:ind w:left="300"/>
        <w:jc w:val="left"/>
        <w:textAlignment w:val="center"/>
        <w:rPr>
          <w:sz w:val="21"/>
        </w:rPr>
      </w:pPr>
      <w:r>
        <w:rPr>
          <w:sz w:val="21"/>
        </w:rPr>
        <w:t>A．科举制度的僵化</w:t>
      </w:r>
      <w:r>
        <w:rPr>
          <w:sz w:val="21"/>
        </w:rPr>
        <w:tab/>
      </w:r>
      <w:r>
        <w:rPr>
          <w:sz w:val="21"/>
        </w:rPr>
        <w:t>B．封建经济的发展</w:t>
      </w:r>
    </w:p>
    <w:p w14:paraId="7391BEFE">
      <w:pPr>
        <w:shd w:val="clear" w:color="auto" w:fill="auto"/>
        <w:tabs>
          <w:tab w:val="left" w:pos="4156"/>
        </w:tabs>
        <w:spacing w:line="240" w:lineRule="auto"/>
        <w:ind w:left="300"/>
        <w:jc w:val="left"/>
        <w:textAlignment w:val="center"/>
        <w:rPr>
          <w:sz w:val="21"/>
        </w:rPr>
      </w:pPr>
      <w:r>
        <w:rPr>
          <w:sz w:val="21"/>
        </w:rPr>
        <w:t>C．陆王心学的发展</w:t>
      </w:r>
      <w:r>
        <w:rPr>
          <w:sz w:val="21"/>
        </w:rPr>
        <w:tab/>
      </w:r>
      <w:r>
        <w:rPr>
          <w:sz w:val="21"/>
        </w:rPr>
        <w:t>D．西学东渐的推动</w:t>
      </w:r>
    </w:p>
    <w:p w14:paraId="27DD160F">
      <w:pPr>
        <w:shd w:val="clear" w:color="auto" w:fill="auto"/>
        <w:spacing w:line="240" w:lineRule="auto"/>
        <w:jc w:val="left"/>
        <w:textAlignment w:val="center"/>
        <w:rPr>
          <w:sz w:val="21"/>
        </w:rPr>
      </w:pPr>
      <w:r>
        <w:rPr>
          <w:sz w:val="21"/>
        </w:rPr>
        <w:t>6．晚清广东地方官员有意推动新式造船业发展，“其各衙署之上房，无不满置小轮船、小火车、电池等等”。然而，这些意在展示维新气象的机械模型蜕变为把玩之物，官员升迁保荐以此为有力的贿赂品。结果“广东制造机器局对于大轮船之制造反远不及制造小轮船之成绩”。这主要可用来说明（</w:t>
      </w:r>
      <w:r>
        <w:rPr>
          <w:rFonts w:ascii="Times New Roman" w:hAnsi="Times New Roman" w:eastAsia="Times New Roman" w:cs="Times New Roman"/>
          <w:kern w:val="0"/>
          <w:sz w:val="24"/>
          <w:szCs w:val="24"/>
        </w:rPr>
        <w:t>   </w:t>
      </w:r>
      <w:r>
        <w:rPr>
          <w:sz w:val="21"/>
        </w:rPr>
        <w:t>）</w:t>
      </w:r>
    </w:p>
    <w:p w14:paraId="0A4D85D4">
      <w:pPr>
        <w:shd w:val="clear" w:color="auto" w:fill="auto"/>
        <w:tabs>
          <w:tab w:val="left" w:pos="4156"/>
        </w:tabs>
        <w:spacing w:line="240" w:lineRule="auto"/>
        <w:ind w:left="300"/>
        <w:jc w:val="left"/>
        <w:textAlignment w:val="center"/>
        <w:rPr>
          <w:sz w:val="21"/>
        </w:rPr>
      </w:pPr>
      <w:r>
        <w:rPr>
          <w:sz w:val="21"/>
        </w:rPr>
        <w:t>A．地方经济结构开始发生变动</w:t>
      </w:r>
      <w:r>
        <w:rPr>
          <w:sz w:val="21"/>
        </w:rPr>
        <w:tab/>
      </w:r>
      <w:r>
        <w:rPr>
          <w:sz w:val="21"/>
        </w:rPr>
        <w:t>B．近代工业建设取得一定成就</w:t>
      </w:r>
    </w:p>
    <w:p w14:paraId="38827C42">
      <w:pPr>
        <w:shd w:val="clear" w:color="auto" w:fill="auto"/>
        <w:tabs>
          <w:tab w:val="left" w:pos="4156"/>
        </w:tabs>
        <w:spacing w:line="240" w:lineRule="auto"/>
        <w:ind w:left="300"/>
        <w:jc w:val="left"/>
        <w:textAlignment w:val="center"/>
        <w:rPr>
          <w:sz w:val="21"/>
        </w:rPr>
      </w:pPr>
      <w:r>
        <w:rPr>
          <w:sz w:val="21"/>
        </w:rPr>
        <w:t>C．旧式官僚体制阻碍产业振兴</w:t>
      </w:r>
      <w:r>
        <w:rPr>
          <w:sz w:val="21"/>
        </w:rPr>
        <w:tab/>
      </w:r>
      <w:r>
        <w:rPr>
          <w:sz w:val="21"/>
        </w:rPr>
        <w:t>D．民族资本主义发展举步维艰</w:t>
      </w:r>
    </w:p>
    <w:p w14:paraId="5748FBD2">
      <w:pPr>
        <w:shd w:val="clear" w:color="auto" w:fill="auto"/>
        <w:spacing w:line="240" w:lineRule="auto"/>
        <w:jc w:val="left"/>
        <w:textAlignment w:val="center"/>
        <w:rPr>
          <w:sz w:val="21"/>
        </w:rPr>
      </w:pPr>
      <w:r>
        <w:rPr>
          <w:sz w:val="21"/>
        </w:rPr>
        <w:t>7．下图是1917年马星驰在《新闻报》发表的漫画《这把交椅能坐几人》,该漫画深刻揭示了（</w:t>
      </w:r>
      <w:r>
        <w:rPr>
          <w:rFonts w:ascii="Times New Roman" w:hAnsi="Times New Roman" w:eastAsia="Times New Roman" w:cs="Times New Roman"/>
          <w:kern w:val="0"/>
          <w:sz w:val="24"/>
          <w:szCs w:val="24"/>
        </w:rPr>
        <w:t>   </w:t>
      </w:r>
      <w:r>
        <w:rPr>
          <w:sz w:val="21"/>
        </w:rPr>
        <w:t>）</w:t>
      </w:r>
    </w:p>
    <w:p w14:paraId="2834BB68">
      <w:pPr>
        <w:shd w:val="clear" w:color="auto" w:fill="auto"/>
        <w:spacing w:line="240" w:lineRule="auto"/>
        <w:jc w:val="center"/>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449320" cy="1600200"/>
            <wp:effectExtent l="0" t="0" r="17780" b="0"/>
            <wp:docPr id="100003" name="图片 100003" descr="@@@6fe4b930a0b9424bbbcd2e3b9f0ed8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6fe4b930a0b9424bbbcd2e3b9f0ed8ed"/>
                    <pic:cNvPicPr>
                      <a:picLocks noChangeAspect="1"/>
                    </pic:cNvPicPr>
                  </pic:nvPicPr>
                  <pic:blipFill>
                    <a:blip r:embed="rId11"/>
                    <a:stretch>
                      <a:fillRect/>
                    </a:stretch>
                  </pic:blipFill>
                  <pic:spPr>
                    <a:xfrm>
                      <a:off x="0" y="0"/>
                      <a:ext cx="3449320" cy="1600200"/>
                    </a:xfrm>
                    <a:prstGeom prst="rect">
                      <a:avLst/>
                    </a:prstGeom>
                  </pic:spPr>
                </pic:pic>
              </a:graphicData>
            </a:graphic>
          </wp:inline>
        </w:drawing>
      </w:r>
    </w:p>
    <w:p w14:paraId="72241588">
      <w:pPr>
        <w:shd w:val="clear" w:color="auto" w:fill="auto"/>
        <w:tabs>
          <w:tab w:val="left" w:pos="4156"/>
        </w:tabs>
        <w:spacing w:line="240" w:lineRule="auto"/>
        <w:ind w:left="300"/>
        <w:jc w:val="left"/>
        <w:textAlignment w:val="center"/>
        <w:rPr>
          <w:sz w:val="21"/>
        </w:rPr>
      </w:pPr>
      <w:r>
        <w:rPr>
          <w:sz w:val="21"/>
        </w:rPr>
        <w:t>A．军阀割据混战的政治现实</w:t>
      </w:r>
      <w:r>
        <w:rPr>
          <w:sz w:val="21"/>
        </w:rPr>
        <w:tab/>
      </w:r>
      <w:r>
        <w:rPr>
          <w:sz w:val="21"/>
        </w:rPr>
        <w:t>B．帝国主义对华分而治之策略</w:t>
      </w:r>
    </w:p>
    <w:p w14:paraId="63472B99">
      <w:pPr>
        <w:shd w:val="clear" w:color="auto" w:fill="auto"/>
        <w:tabs>
          <w:tab w:val="left" w:pos="4156"/>
        </w:tabs>
        <w:spacing w:line="240" w:lineRule="auto"/>
        <w:ind w:left="300"/>
        <w:jc w:val="left"/>
        <w:textAlignment w:val="center"/>
        <w:rPr>
          <w:sz w:val="21"/>
        </w:rPr>
      </w:pPr>
      <w:r>
        <w:rPr>
          <w:sz w:val="21"/>
        </w:rPr>
        <w:t>C．民主共和制度的实践困境</w:t>
      </w:r>
      <w:r>
        <w:rPr>
          <w:sz w:val="21"/>
        </w:rPr>
        <w:tab/>
      </w:r>
      <w:r>
        <w:rPr>
          <w:sz w:val="21"/>
        </w:rPr>
        <w:t>D．革命派与立宪派的政治分歧</w:t>
      </w:r>
    </w:p>
    <w:p w14:paraId="04AA4E29">
      <w:pPr>
        <w:shd w:val="clear" w:color="auto" w:fill="auto"/>
        <w:spacing w:line="240" w:lineRule="auto"/>
        <w:jc w:val="left"/>
        <w:textAlignment w:val="center"/>
        <w:rPr>
          <w:sz w:val="21"/>
        </w:rPr>
      </w:pPr>
      <w:r>
        <w:rPr>
          <w:sz w:val="21"/>
        </w:rPr>
        <w:t>8．下表为1931-1932年中央苏区商业税相关规定，据此表可推知，中央苏区征收商业税（</w:t>
      </w:r>
      <w:r>
        <w:rPr>
          <w:rFonts w:ascii="Times New Roman" w:hAnsi="Times New Roman" w:eastAsia="Times New Roman" w:cs="Times New Roman"/>
          <w:kern w:val="0"/>
          <w:sz w:val="24"/>
          <w:szCs w:val="24"/>
        </w:rPr>
        <w:t>   </w:t>
      </w:r>
      <w:r>
        <w:rPr>
          <w:sz w:val="21"/>
        </w:rPr>
        <w:t>）</w:t>
      </w:r>
    </w:p>
    <w:tbl>
      <w:tblPr>
        <w:tblStyle w:val="5"/>
        <w:tblW w:w="6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45"/>
        <w:gridCol w:w="1980"/>
        <w:gridCol w:w="3045"/>
      </w:tblGrid>
      <w:tr w14:paraId="6554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8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2BFE2D">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征收对象</w:t>
            </w:r>
          </w:p>
        </w:tc>
        <w:tc>
          <w:tcPr>
            <w:tcW w:w="19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34BB7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征收标准</w:t>
            </w:r>
          </w:p>
        </w:tc>
        <w:tc>
          <w:tcPr>
            <w:tcW w:w="30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F83598">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特殊规定</w:t>
            </w:r>
          </w:p>
        </w:tc>
      </w:tr>
      <w:tr w14:paraId="457B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8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81D249">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商业经营者</w:t>
            </w:r>
          </w:p>
        </w:tc>
        <w:tc>
          <w:tcPr>
            <w:tcW w:w="19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BB7539">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按资本大小，盈利多少征收累进税</w:t>
            </w:r>
          </w:p>
        </w:tc>
        <w:tc>
          <w:tcPr>
            <w:tcW w:w="30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8518DF">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资本200元以下免税</w:t>
            </w:r>
          </w:p>
        </w:tc>
      </w:tr>
      <w:tr w14:paraId="29D6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8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8C22A3">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苏区与白区间贸易</w:t>
            </w:r>
          </w:p>
        </w:tc>
        <w:tc>
          <w:tcPr>
            <w:tcW w:w="19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BFAB3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征收关税</w:t>
            </w:r>
          </w:p>
        </w:tc>
        <w:tc>
          <w:tcPr>
            <w:tcW w:w="304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DACEEF">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根据物资需求程度有税收免征和高至100%等情况</w:t>
            </w:r>
          </w:p>
        </w:tc>
      </w:tr>
    </w:tbl>
    <w:p w14:paraId="54CD7ECA">
      <w:pPr>
        <w:shd w:val="clear" w:color="auto" w:fill="auto"/>
        <w:spacing w:line="240" w:lineRule="auto"/>
        <w:ind w:left="300"/>
        <w:jc w:val="left"/>
        <w:textAlignment w:val="center"/>
        <w:rPr>
          <w:sz w:val="21"/>
        </w:rPr>
      </w:pPr>
      <w:r>
        <w:rPr>
          <w:sz w:val="21"/>
        </w:rPr>
        <w:t>A．使政府掌握了市场主动权</w:t>
      </w:r>
      <w:r>
        <w:rPr>
          <w:rFonts w:hint="eastAsia"/>
          <w:sz w:val="21"/>
          <w:lang w:val="en-US" w:eastAsia="zh-CN"/>
        </w:rPr>
        <w:t xml:space="preserve">           </w:t>
      </w:r>
      <w:r>
        <w:rPr>
          <w:sz w:val="21"/>
        </w:rPr>
        <w:t>B．服务于巩固苏维埃政权的大局</w:t>
      </w:r>
    </w:p>
    <w:p w14:paraId="794246C0">
      <w:pPr>
        <w:shd w:val="clear" w:color="auto" w:fill="auto"/>
        <w:spacing w:line="240" w:lineRule="auto"/>
        <w:ind w:left="300"/>
        <w:jc w:val="left"/>
        <w:textAlignment w:val="center"/>
        <w:rPr>
          <w:sz w:val="21"/>
        </w:rPr>
      </w:pPr>
      <w:r>
        <w:rPr>
          <w:sz w:val="21"/>
        </w:rPr>
        <w:t>C．冲破了国民党的经济封锁</w:t>
      </w:r>
      <w:r>
        <w:rPr>
          <w:rFonts w:hint="eastAsia"/>
          <w:sz w:val="21"/>
          <w:lang w:val="en-US" w:eastAsia="zh-CN"/>
        </w:rPr>
        <w:t xml:space="preserve">           </w:t>
      </w:r>
      <w:r>
        <w:rPr>
          <w:sz w:val="21"/>
        </w:rPr>
        <w:t>D．侧重改善苏区的商业经营环境</w:t>
      </w:r>
    </w:p>
    <w:p w14:paraId="3BE8B6B0">
      <w:pPr>
        <w:shd w:val="clear" w:color="auto" w:fill="auto"/>
        <w:spacing w:line="240" w:lineRule="auto"/>
        <w:jc w:val="left"/>
        <w:textAlignment w:val="center"/>
        <w:rPr>
          <w:sz w:val="21"/>
        </w:rPr>
      </w:pPr>
      <w:r>
        <w:rPr>
          <w:sz w:val="21"/>
        </w:rPr>
        <w:t>9．新民主主义革命过程中的某时期，中共中央曾就土地政策作出决定:“在处理农村纠纷中，党与政府的工作人员，不是站在农民或地主的某一方面”“一切有关土地及债务的契约的缔结须依双方自愿。契约期满，任何一方有解约之自由”。由此可知，该时期（</w:t>
      </w:r>
      <w:r>
        <w:rPr>
          <w:rFonts w:ascii="Times New Roman" w:hAnsi="Times New Roman" w:eastAsia="Times New Roman" w:cs="Times New Roman"/>
          <w:kern w:val="0"/>
          <w:sz w:val="24"/>
          <w:szCs w:val="24"/>
        </w:rPr>
        <w:t>   </w:t>
      </w:r>
      <w:r>
        <w:rPr>
          <w:sz w:val="21"/>
        </w:rPr>
        <w:t>）</w:t>
      </w:r>
    </w:p>
    <w:p w14:paraId="55466138">
      <w:pPr>
        <w:shd w:val="clear" w:color="auto" w:fill="auto"/>
        <w:spacing w:line="240" w:lineRule="auto"/>
        <w:ind w:left="300"/>
        <w:jc w:val="left"/>
        <w:textAlignment w:val="center"/>
        <w:rPr>
          <w:sz w:val="21"/>
        </w:rPr>
      </w:pPr>
      <w:r>
        <w:rPr>
          <w:sz w:val="21"/>
        </w:rPr>
        <w:t>A．阶级矛盾是整个国家的主要矛盾</w:t>
      </w:r>
      <w:r>
        <w:rPr>
          <w:rFonts w:hint="eastAsia"/>
          <w:sz w:val="21"/>
          <w:lang w:val="en-US" w:eastAsia="zh-CN"/>
        </w:rPr>
        <w:t xml:space="preserve">      </w:t>
      </w:r>
      <w:r>
        <w:rPr>
          <w:sz w:val="21"/>
        </w:rPr>
        <w:t>B．彻底废除了地主阶级土地所有制</w:t>
      </w:r>
    </w:p>
    <w:p w14:paraId="3BCB7B02">
      <w:pPr>
        <w:shd w:val="clear" w:color="auto" w:fill="auto"/>
        <w:spacing w:line="240" w:lineRule="auto"/>
        <w:ind w:left="300"/>
        <w:jc w:val="left"/>
        <w:textAlignment w:val="center"/>
        <w:rPr>
          <w:sz w:val="21"/>
        </w:rPr>
      </w:pPr>
      <w:r>
        <w:rPr>
          <w:sz w:val="21"/>
        </w:rPr>
        <w:t>C．实施“耕者有其田”的土地政策</w:t>
      </w:r>
      <w:r>
        <w:rPr>
          <w:rFonts w:hint="eastAsia"/>
          <w:sz w:val="21"/>
          <w:lang w:val="en-US" w:eastAsia="zh-CN"/>
        </w:rPr>
        <w:t xml:space="preserve">        </w:t>
      </w:r>
      <w:r>
        <w:rPr>
          <w:sz w:val="21"/>
        </w:rPr>
        <w:t>D．积极地团结一切可以团结的力量</w:t>
      </w:r>
    </w:p>
    <w:p w14:paraId="667DBA79">
      <w:pPr>
        <w:shd w:val="clear" w:color="auto" w:fill="auto"/>
        <w:spacing w:line="240" w:lineRule="auto"/>
        <w:jc w:val="left"/>
        <w:textAlignment w:val="center"/>
        <w:rPr>
          <w:sz w:val="21"/>
        </w:rPr>
      </w:pPr>
      <w:r>
        <w:rPr>
          <w:sz w:val="21"/>
        </w:rPr>
        <w:t>10．1985年1月，国家物价局与国家物资局联合发出《关于放开工业生产资料超产自销产品价格的通知》，规定：“工业生产资料属于企业自销和完成国家计划后的超产部分，企业有权在不高于或低于国家定价20%的幅度内自行定价。”该政策（</w:t>
      </w:r>
      <w:r>
        <w:rPr>
          <w:rFonts w:ascii="Times New Roman" w:hAnsi="Times New Roman" w:eastAsia="Times New Roman" w:cs="Times New Roman"/>
          <w:kern w:val="0"/>
          <w:sz w:val="24"/>
          <w:szCs w:val="24"/>
        </w:rPr>
        <w:t>   </w:t>
      </w:r>
      <w:r>
        <w:rPr>
          <w:sz w:val="21"/>
        </w:rPr>
        <w:t>）</w:t>
      </w:r>
    </w:p>
    <w:p w14:paraId="7BF7C343">
      <w:pPr>
        <w:shd w:val="clear" w:color="auto" w:fill="auto"/>
        <w:spacing w:line="240" w:lineRule="auto"/>
        <w:ind w:left="380"/>
        <w:jc w:val="left"/>
        <w:textAlignment w:val="center"/>
        <w:rPr>
          <w:sz w:val="21"/>
        </w:rPr>
      </w:pPr>
      <w:r>
        <w:rPr>
          <w:sz w:val="21"/>
        </w:rPr>
        <w:t>A．</w:t>
      </w:r>
      <w:r>
        <w:rPr>
          <w:rFonts w:hint="eastAsia"/>
          <w:sz w:val="21"/>
          <w:lang w:val="en-US" w:eastAsia="zh-CN"/>
        </w:rPr>
        <w:t>意味着</w:t>
      </w:r>
      <w:r>
        <w:rPr>
          <w:sz w:val="21"/>
        </w:rPr>
        <w:t>市场经济体制</w:t>
      </w:r>
      <w:r>
        <w:rPr>
          <w:rFonts w:hint="eastAsia"/>
          <w:sz w:val="21"/>
          <w:lang w:val="en-US" w:eastAsia="zh-CN"/>
        </w:rPr>
        <w:t>的</w:t>
      </w:r>
      <w:r>
        <w:rPr>
          <w:sz w:val="21"/>
        </w:rPr>
        <w:t>确立</w:t>
      </w:r>
      <w:r>
        <w:rPr>
          <w:rFonts w:hint="eastAsia"/>
          <w:sz w:val="21"/>
          <w:lang w:val="en-US" w:eastAsia="zh-CN"/>
        </w:rPr>
        <w:t xml:space="preserve">         </w:t>
      </w:r>
      <w:r>
        <w:rPr>
          <w:sz w:val="21"/>
        </w:rPr>
        <w:t>B．彻底打破计划经济体制的束缚</w:t>
      </w:r>
    </w:p>
    <w:p w14:paraId="39D3CC2B">
      <w:pPr>
        <w:shd w:val="clear" w:color="auto" w:fill="auto"/>
        <w:spacing w:line="240" w:lineRule="auto"/>
        <w:ind w:left="380"/>
        <w:jc w:val="left"/>
        <w:textAlignment w:val="center"/>
        <w:rPr>
          <w:sz w:val="21"/>
        </w:rPr>
      </w:pPr>
      <w:r>
        <w:rPr>
          <w:sz w:val="21"/>
        </w:rPr>
        <w:t>C．体现了价格双轨制改革特征</w:t>
      </w:r>
      <w:r>
        <w:rPr>
          <w:rFonts w:hint="eastAsia"/>
          <w:sz w:val="21"/>
          <w:lang w:val="en-US" w:eastAsia="zh-CN"/>
        </w:rPr>
        <w:t xml:space="preserve">         </w:t>
      </w:r>
      <w:r>
        <w:rPr>
          <w:sz w:val="21"/>
        </w:rPr>
        <w:t>D．推动现代企业制度迈向新阶段</w:t>
      </w:r>
    </w:p>
    <w:p w14:paraId="672435CC">
      <w:pPr>
        <w:shd w:val="clear" w:color="auto" w:fill="auto"/>
        <w:spacing w:line="240" w:lineRule="auto"/>
        <w:jc w:val="left"/>
        <w:textAlignment w:val="center"/>
        <w:rPr>
          <w:sz w:val="21"/>
        </w:rPr>
      </w:pPr>
      <w:r>
        <w:rPr>
          <w:sz w:val="21"/>
        </w:rPr>
        <w:t>11．公元前8世纪至前6世纪，地中海区域成为上古文明交流的重要场域，阿尔米纳与瑙克拉提斯两大遗址出土的考古材料为解读这一时期的文明互动提供了关键依据。下表中考古解释最为合理的是（</w:t>
      </w:r>
      <w:r>
        <w:rPr>
          <w:rFonts w:ascii="Times New Roman" w:hAnsi="Times New Roman" w:eastAsia="Times New Roman" w:cs="Times New Roman"/>
          <w:kern w:val="0"/>
          <w:sz w:val="24"/>
          <w:szCs w:val="24"/>
        </w:rPr>
        <w:t>   </w:t>
      </w:r>
      <w:r>
        <w:rPr>
          <w:sz w:val="21"/>
        </w:rPr>
        <w:t>）</w:t>
      </w:r>
    </w:p>
    <w:tbl>
      <w:tblPr>
        <w:tblStyle w:val="5"/>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85"/>
        <w:gridCol w:w="4897"/>
        <w:gridCol w:w="4256"/>
      </w:tblGrid>
      <w:tr w14:paraId="78B5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66" w:hRule="atLeast"/>
          <w:jc w:val="center"/>
        </w:trPr>
        <w:tc>
          <w:tcPr>
            <w:tcW w:w="3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2B680A">
            <w:pPr>
              <w:shd w:val="clear" w:color="auto" w:fill="auto"/>
              <w:spacing w:line="240" w:lineRule="auto"/>
              <w:jc w:val="left"/>
              <w:textAlignment w:val="center"/>
              <w:rPr>
                <w:rFonts w:hint="eastAsia" w:ascii="楷体" w:hAnsi="楷体" w:eastAsia="楷体" w:cs="楷体"/>
                <w:sz w:val="21"/>
              </w:rPr>
            </w:pPr>
          </w:p>
        </w:tc>
        <w:tc>
          <w:tcPr>
            <w:tcW w:w="489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D7123B">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考古发现</w:t>
            </w:r>
          </w:p>
        </w:tc>
        <w:tc>
          <w:tcPr>
            <w:tcW w:w="425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E4E28B0">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考古解释</w:t>
            </w:r>
          </w:p>
        </w:tc>
      </w:tr>
      <w:tr w14:paraId="2348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42" w:hRule="atLeast"/>
          <w:jc w:val="center"/>
        </w:trPr>
        <w:tc>
          <w:tcPr>
            <w:tcW w:w="3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CB7650">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A</w:t>
            </w:r>
          </w:p>
        </w:tc>
        <w:tc>
          <w:tcPr>
            <w:tcW w:w="489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7CC066">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阿尔米纳出土大量希腊陶器</w:t>
            </w:r>
          </w:p>
        </w:tc>
        <w:tc>
          <w:tcPr>
            <w:tcW w:w="425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AB31F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希腊是当时地中海地区唯一陶器生产中心</w:t>
            </w:r>
          </w:p>
        </w:tc>
      </w:tr>
      <w:tr w14:paraId="69F0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66" w:hRule="atLeast"/>
          <w:jc w:val="center"/>
        </w:trPr>
        <w:tc>
          <w:tcPr>
            <w:tcW w:w="3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BFCA87">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B</w:t>
            </w:r>
          </w:p>
        </w:tc>
        <w:tc>
          <w:tcPr>
            <w:tcW w:w="489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7DE13B">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瑙克拉提斯发现腓尼基红酒器与埃及圣甲虫</w:t>
            </w:r>
          </w:p>
        </w:tc>
        <w:tc>
          <w:tcPr>
            <w:tcW w:w="425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21349F">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商贸促进不同文化间交流</w:t>
            </w:r>
          </w:p>
        </w:tc>
      </w:tr>
      <w:tr w14:paraId="6D6C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42" w:hRule="atLeast"/>
          <w:jc w:val="center"/>
        </w:trPr>
        <w:tc>
          <w:tcPr>
            <w:tcW w:w="3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A82E2D">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C</w:t>
            </w:r>
          </w:p>
        </w:tc>
        <w:tc>
          <w:tcPr>
            <w:tcW w:w="489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293E19">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阿尔米纳发现的优卑亚陶器广泛分布于地中海区域</w:t>
            </w:r>
          </w:p>
        </w:tc>
        <w:tc>
          <w:tcPr>
            <w:tcW w:w="425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9131FD">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优卑亚制陶业领先</w:t>
            </w:r>
          </w:p>
        </w:tc>
      </w:tr>
      <w:tr w14:paraId="4333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74" w:hRule="atLeast"/>
          <w:jc w:val="center"/>
        </w:trPr>
        <w:tc>
          <w:tcPr>
            <w:tcW w:w="3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1356D3">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D</w:t>
            </w:r>
          </w:p>
        </w:tc>
        <w:tc>
          <w:tcPr>
            <w:tcW w:w="4897"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6CC460">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瑙克拉提斯出土希腊商人定居遗迹</w:t>
            </w:r>
          </w:p>
        </w:tc>
        <w:tc>
          <w:tcPr>
            <w:tcW w:w="425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4C8DC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希腊人已掌控地中海东部所有贸易</w:t>
            </w:r>
          </w:p>
        </w:tc>
      </w:tr>
    </w:tbl>
    <w:p w14:paraId="4442512F">
      <w:pPr>
        <w:shd w:val="clear" w:color="auto" w:fill="auto"/>
        <w:tabs>
          <w:tab w:val="left" w:pos="2078"/>
          <w:tab w:val="left" w:pos="4156"/>
          <w:tab w:val="left" w:pos="6234"/>
        </w:tabs>
        <w:spacing w:line="240" w:lineRule="auto"/>
        <w:ind w:left="380"/>
        <w:jc w:val="left"/>
        <w:textAlignment w:val="center"/>
        <w:rPr>
          <w:sz w:val="21"/>
        </w:rPr>
      </w:pPr>
      <w:r>
        <w:rPr>
          <w:sz w:val="21"/>
        </w:rPr>
        <w:t>A．A</w:t>
      </w:r>
      <w:r>
        <w:rPr>
          <w:sz w:val="21"/>
        </w:rPr>
        <w:tab/>
      </w:r>
      <w:r>
        <w:rPr>
          <w:sz w:val="21"/>
        </w:rPr>
        <w:t>B．B</w:t>
      </w:r>
      <w:r>
        <w:rPr>
          <w:sz w:val="21"/>
        </w:rPr>
        <w:tab/>
      </w:r>
      <w:r>
        <w:rPr>
          <w:rFonts w:hint="eastAsia"/>
          <w:sz w:val="21"/>
          <w:lang w:val="en-US" w:eastAsia="zh-CN"/>
        </w:rPr>
        <w:t xml:space="preserve"> </w:t>
      </w:r>
      <w:r>
        <w:rPr>
          <w:sz w:val="21"/>
        </w:rPr>
        <w:t>C．C</w:t>
      </w:r>
      <w:r>
        <w:rPr>
          <w:sz w:val="21"/>
        </w:rPr>
        <w:tab/>
      </w:r>
      <w:r>
        <w:rPr>
          <w:sz w:val="21"/>
        </w:rPr>
        <w:t>D．D</w:t>
      </w:r>
    </w:p>
    <w:p w14:paraId="4250880A">
      <w:pPr>
        <w:shd w:val="clear" w:color="auto" w:fill="auto"/>
        <w:spacing w:line="240" w:lineRule="auto"/>
        <w:jc w:val="left"/>
        <w:textAlignment w:val="center"/>
        <w:rPr>
          <w:sz w:val="21"/>
        </w:rPr>
      </w:pPr>
      <w:r>
        <w:rPr>
          <w:sz w:val="21"/>
        </w:rPr>
        <w:t>12．阿拉伯阿拔斯王朝早期，政府把田赋的最高额从收获量的1/2改为2/5，并且禁止向农民额外征税。同时水稻、高粱、甘蔗、棉花、西瓜等大批农作物新品种逐渐被引入帝国，并在国内各个地方普及。据此可推知，当时（</w:t>
      </w:r>
      <w:r>
        <w:rPr>
          <w:rFonts w:ascii="Times New Roman" w:hAnsi="Times New Roman" w:eastAsia="Times New Roman" w:cs="Times New Roman"/>
          <w:kern w:val="0"/>
          <w:sz w:val="24"/>
          <w:szCs w:val="24"/>
        </w:rPr>
        <w:t>   </w:t>
      </w:r>
      <w:r>
        <w:rPr>
          <w:sz w:val="21"/>
        </w:rPr>
        <w:t>）</w:t>
      </w:r>
    </w:p>
    <w:p w14:paraId="60EC903D">
      <w:pPr>
        <w:shd w:val="clear" w:color="auto" w:fill="auto"/>
        <w:tabs>
          <w:tab w:val="left" w:pos="4156"/>
        </w:tabs>
        <w:spacing w:line="240" w:lineRule="auto"/>
        <w:ind w:left="380"/>
        <w:jc w:val="left"/>
        <w:textAlignment w:val="center"/>
        <w:rPr>
          <w:sz w:val="21"/>
        </w:rPr>
      </w:pPr>
      <w:r>
        <w:rPr>
          <w:sz w:val="21"/>
        </w:rPr>
        <w:t>A．制度创新推动了农业的发展</w:t>
      </w:r>
      <w:r>
        <w:rPr>
          <w:sz w:val="21"/>
        </w:rPr>
        <w:tab/>
      </w:r>
      <w:r>
        <w:rPr>
          <w:rFonts w:hint="eastAsia"/>
          <w:sz w:val="21"/>
          <w:lang w:val="en-US" w:eastAsia="zh-CN"/>
        </w:rPr>
        <w:t xml:space="preserve"> </w:t>
      </w:r>
      <w:r>
        <w:rPr>
          <w:sz w:val="21"/>
        </w:rPr>
        <w:t>B．商业发展具备良好物质基础</w:t>
      </w:r>
    </w:p>
    <w:p w14:paraId="7C20BB59">
      <w:pPr>
        <w:shd w:val="clear" w:color="auto" w:fill="auto"/>
        <w:tabs>
          <w:tab w:val="left" w:pos="4156"/>
        </w:tabs>
        <w:spacing w:line="240" w:lineRule="auto"/>
        <w:ind w:left="380"/>
        <w:jc w:val="left"/>
        <w:textAlignment w:val="center"/>
        <w:rPr>
          <w:sz w:val="21"/>
        </w:rPr>
      </w:pPr>
      <w:r>
        <w:rPr>
          <w:sz w:val="21"/>
        </w:rPr>
        <w:t>C．农业生产技术得到显著提高</w:t>
      </w:r>
      <w:r>
        <w:rPr>
          <w:sz w:val="21"/>
        </w:rPr>
        <w:tab/>
      </w:r>
      <w:r>
        <w:rPr>
          <w:rFonts w:hint="eastAsia"/>
          <w:sz w:val="21"/>
          <w:lang w:val="en-US" w:eastAsia="zh-CN"/>
        </w:rPr>
        <w:t xml:space="preserve"> </w:t>
      </w:r>
      <w:r>
        <w:rPr>
          <w:sz w:val="21"/>
        </w:rPr>
        <w:t>D．社会阶级矛盾得到有效调节</w:t>
      </w:r>
    </w:p>
    <w:p w14:paraId="7ECE8E2E">
      <w:pPr>
        <w:shd w:val="clear" w:color="auto" w:fill="auto"/>
        <w:spacing w:line="240" w:lineRule="auto"/>
        <w:jc w:val="left"/>
        <w:textAlignment w:val="center"/>
        <w:rPr>
          <w:sz w:val="21"/>
        </w:rPr>
      </w:pPr>
      <w:r>
        <w:rPr>
          <w:sz w:val="21"/>
        </w:rPr>
        <w:t>13．19世纪上半叶，英国强制实施谷物进口关税，抵制外国低价谷物的竞争，皮尔首相上台后要求废除《谷物法》的呼声强烈。1846年发表的漫画《隘口上的绵羊》，描绘了象征英国两党政客们的绵羊，在皮尔的带领下从贸易保护区跨入自由贸易区的画面（如下图）。该漫画折射出英国（</w:t>
      </w:r>
      <w:r>
        <w:rPr>
          <w:rFonts w:ascii="Times New Roman" w:hAnsi="Times New Roman" w:eastAsia="Times New Roman" w:cs="Times New Roman"/>
          <w:kern w:val="0"/>
          <w:sz w:val="24"/>
          <w:szCs w:val="24"/>
        </w:rPr>
        <w:t>   </w:t>
      </w:r>
      <w:r>
        <w:rPr>
          <w:sz w:val="21"/>
        </w:rPr>
        <w:t>）</w:t>
      </w:r>
    </w:p>
    <w:p w14:paraId="16E03B05">
      <w:pPr>
        <w:shd w:val="clear" w:color="auto" w:fill="auto"/>
        <w:spacing w:line="240" w:lineRule="auto"/>
        <w:jc w:val="center"/>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476500" cy="1884045"/>
            <wp:effectExtent l="0" t="0" r="0" b="1905"/>
            <wp:docPr id="100005" name="图片 100005" descr="@@@7dc61d240ab3437e9700e5c4122d0b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7dc61d240ab3437e9700e5c4122d0b94"/>
                    <pic:cNvPicPr>
                      <a:picLocks noChangeAspect="1"/>
                    </pic:cNvPicPr>
                  </pic:nvPicPr>
                  <pic:blipFill>
                    <a:blip r:embed="rId12"/>
                    <a:stretch>
                      <a:fillRect/>
                    </a:stretch>
                  </pic:blipFill>
                  <pic:spPr>
                    <a:xfrm>
                      <a:off x="0" y="0"/>
                      <a:ext cx="2476500" cy="1884045"/>
                    </a:xfrm>
                    <a:prstGeom prst="rect">
                      <a:avLst/>
                    </a:prstGeom>
                  </pic:spPr>
                </pic:pic>
              </a:graphicData>
            </a:graphic>
          </wp:inline>
        </w:drawing>
      </w:r>
    </w:p>
    <w:p w14:paraId="32F127CC">
      <w:pPr>
        <w:shd w:val="clear" w:color="auto" w:fill="auto"/>
        <w:spacing w:line="240" w:lineRule="auto"/>
        <w:ind w:left="380"/>
        <w:jc w:val="left"/>
        <w:textAlignment w:val="center"/>
        <w:rPr>
          <w:sz w:val="21"/>
        </w:rPr>
      </w:pPr>
      <w:r>
        <w:rPr>
          <w:sz w:val="21"/>
        </w:rPr>
        <w:t>A．工业资产阶级政治影响力增强</w:t>
      </w:r>
      <w:r>
        <w:rPr>
          <w:rFonts w:hint="eastAsia"/>
          <w:sz w:val="21"/>
          <w:lang w:val="en-US" w:eastAsia="zh-CN"/>
        </w:rPr>
        <w:t xml:space="preserve">        </w:t>
      </w:r>
      <w:r>
        <w:rPr>
          <w:sz w:val="21"/>
        </w:rPr>
        <w:t>B．国际关系紧张引发阶级冲突</w:t>
      </w:r>
    </w:p>
    <w:p w14:paraId="29417923">
      <w:pPr>
        <w:shd w:val="clear" w:color="auto" w:fill="auto"/>
        <w:spacing w:line="240" w:lineRule="auto"/>
        <w:ind w:left="380"/>
        <w:jc w:val="left"/>
        <w:textAlignment w:val="center"/>
        <w:rPr>
          <w:sz w:val="21"/>
        </w:rPr>
      </w:pPr>
      <w:r>
        <w:rPr>
          <w:sz w:val="21"/>
        </w:rPr>
        <w:t>C．致力于通过资本输出发展贸易</w:t>
      </w:r>
      <w:r>
        <w:rPr>
          <w:rFonts w:hint="eastAsia"/>
          <w:sz w:val="21"/>
          <w:lang w:val="en-US" w:eastAsia="zh-CN"/>
        </w:rPr>
        <w:t xml:space="preserve">        </w:t>
      </w:r>
      <w:r>
        <w:rPr>
          <w:sz w:val="21"/>
        </w:rPr>
        <w:t>D．政党政治共识超越利益分歧</w:t>
      </w:r>
    </w:p>
    <w:p w14:paraId="593AFBBB">
      <w:pPr>
        <w:shd w:val="clear" w:color="auto" w:fill="auto"/>
        <w:spacing w:line="240" w:lineRule="auto"/>
        <w:jc w:val="left"/>
        <w:textAlignment w:val="center"/>
        <w:rPr>
          <w:sz w:val="21"/>
        </w:rPr>
      </w:pPr>
      <w:r>
        <w:rPr>
          <w:sz w:val="21"/>
        </w:rPr>
        <w:t>14．有学者指出：“中世纪的城市，是一个‘共同体的联盟’，它首先宣誓结合，而后才筑起城墙；而近代的民族国家，则是一个‘联盟的共同体’，它首先需要打破割据的‘城墙’，才能实现真正的结合。”这段话强调了（</w:t>
      </w:r>
      <w:r>
        <w:rPr>
          <w:rFonts w:ascii="Times New Roman" w:hAnsi="Times New Roman" w:eastAsia="Times New Roman" w:cs="Times New Roman"/>
          <w:kern w:val="0"/>
          <w:sz w:val="24"/>
          <w:szCs w:val="24"/>
        </w:rPr>
        <w:t>   </w:t>
      </w:r>
      <w:r>
        <w:rPr>
          <w:sz w:val="21"/>
        </w:rPr>
        <w:t>）</w:t>
      </w:r>
    </w:p>
    <w:p w14:paraId="2865EDCE">
      <w:pPr>
        <w:shd w:val="clear" w:color="auto" w:fill="auto"/>
        <w:spacing w:line="240" w:lineRule="auto"/>
        <w:ind w:left="380"/>
        <w:jc w:val="left"/>
        <w:textAlignment w:val="center"/>
        <w:rPr>
          <w:sz w:val="21"/>
        </w:rPr>
      </w:pPr>
      <w:r>
        <w:rPr>
          <w:sz w:val="21"/>
        </w:rPr>
        <w:t>A．城市自治阻碍了国家统一</w:t>
      </w:r>
      <w:r>
        <w:rPr>
          <w:rFonts w:hint="eastAsia"/>
          <w:sz w:val="21"/>
          <w:lang w:val="en-US" w:eastAsia="zh-CN"/>
        </w:rPr>
        <w:t xml:space="preserve">            </w:t>
      </w:r>
      <w:r>
        <w:rPr>
          <w:sz w:val="21"/>
        </w:rPr>
        <w:t>B．城墙阻碍近代民族国家形成</w:t>
      </w:r>
    </w:p>
    <w:p w14:paraId="174BF753">
      <w:pPr>
        <w:shd w:val="clear" w:color="auto" w:fill="auto"/>
        <w:spacing w:line="240" w:lineRule="auto"/>
        <w:ind w:left="380"/>
        <w:jc w:val="left"/>
        <w:textAlignment w:val="center"/>
        <w:rPr>
          <w:sz w:val="21"/>
        </w:rPr>
      </w:pPr>
      <w:r>
        <w:rPr>
          <w:sz w:val="21"/>
        </w:rPr>
        <w:t>C．民族国家形成的文化基础</w:t>
      </w:r>
      <w:r>
        <w:rPr>
          <w:rFonts w:hint="eastAsia"/>
          <w:sz w:val="21"/>
          <w:lang w:val="en-US" w:eastAsia="zh-CN"/>
        </w:rPr>
        <w:t xml:space="preserve">            </w:t>
      </w:r>
      <w:r>
        <w:rPr>
          <w:sz w:val="21"/>
        </w:rPr>
        <w:t>D．市民阶层政治地位显著提升</w:t>
      </w:r>
    </w:p>
    <w:p w14:paraId="4C6A1A60">
      <w:pPr>
        <w:shd w:val="clear" w:color="auto" w:fill="auto"/>
        <w:spacing w:line="240" w:lineRule="auto"/>
        <w:jc w:val="left"/>
        <w:textAlignment w:val="center"/>
        <w:rPr>
          <w:sz w:val="21"/>
        </w:rPr>
      </w:pPr>
      <w:r>
        <w:rPr>
          <w:sz w:val="21"/>
        </w:rPr>
        <w:t>15．下表所示为1980～2001年拉美区域经济一体化组织内部出口占各自总出口的比重（单位：%）。对此解读正确的是，拉美地区（</w:t>
      </w:r>
      <w:r>
        <w:rPr>
          <w:rFonts w:ascii="Times New Roman" w:hAnsi="Times New Roman" w:eastAsia="Times New Roman" w:cs="Times New Roman"/>
          <w:kern w:val="0"/>
          <w:sz w:val="24"/>
          <w:szCs w:val="24"/>
        </w:rPr>
        <w:t>   </w:t>
      </w:r>
      <w:r>
        <w:rPr>
          <w:sz w:val="21"/>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130"/>
        <w:gridCol w:w="923"/>
        <w:gridCol w:w="923"/>
        <w:gridCol w:w="923"/>
        <w:gridCol w:w="923"/>
        <w:gridCol w:w="923"/>
        <w:gridCol w:w="923"/>
      </w:tblGrid>
      <w:tr w14:paraId="0B6B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97" w:hRule="atLeast"/>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8BAE48">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区域经济一体化组织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1E93D9">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1980年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D020DF">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1990年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FFD9E0">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1995年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D8D1A0">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1999年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C3062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2000年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DA0BF3">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2001年</w:t>
            </w:r>
          </w:p>
        </w:tc>
      </w:tr>
      <w:tr w14:paraId="6DD2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97" w:hRule="atLeast"/>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692C26">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安第斯共同体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82052F">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3.8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F4040B">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4.1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DD356D">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D4368C">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8.8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1B5256">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8.4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45922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9.4</w:t>
            </w:r>
          </w:p>
        </w:tc>
      </w:tr>
      <w:tr w14:paraId="6FEA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97" w:hRule="atLeast"/>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052348">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中美洲共同市场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7CB56F">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24.4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F46A95">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15.4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2568FB">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21.7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19E99C">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12.8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D7924F">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13.7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994E0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15.0</w:t>
            </w:r>
          </w:p>
        </w:tc>
      </w:tr>
      <w:tr w14:paraId="2232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97" w:hRule="atLeast"/>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69BF9B">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加勒比共同体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AF2264">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5.3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D423E8">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8.1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15A9C8">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12.1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BBA83F">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16.9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1B860C">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14.6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5FB09C">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13.4</w:t>
            </w:r>
          </w:p>
        </w:tc>
      </w:tr>
      <w:tr w14:paraId="41B6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97" w:hRule="atLeast"/>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9780D8">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拉美一体化协会</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F790EA">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13.9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9E6038">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11.6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0D7E66">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17.3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BA2E1D">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12.9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4DE750">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12.9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CCD3B9">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14.5</w:t>
            </w:r>
          </w:p>
        </w:tc>
      </w:tr>
      <w:tr w14:paraId="355F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97" w:hRule="atLeast"/>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6F34F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南方共同市场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4BDB9C">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11.6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DCF011">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8.9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0DAF36">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20.3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B2C979">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20.6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DADCD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20.7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D10251">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20.8</w:t>
            </w:r>
          </w:p>
        </w:tc>
      </w:tr>
      <w:tr w14:paraId="07CA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06" w:hRule="atLeast"/>
          <w:jc w:val="center"/>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66BD990">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东加勒比国家组织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EC20F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5B7A69">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8.1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C84880">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12.6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5F45BC">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13.1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F2E8AB">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C6BD6D">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5.6</w:t>
            </w:r>
          </w:p>
        </w:tc>
      </w:tr>
    </w:tbl>
    <w:p w14:paraId="1FAC954D">
      <w:pPr>
        <w:shd w:val="clear" w:color="auto" w:fill="auto"/>
        <w:spacing w:line="240" w:lineRule="auto"/>
        <w:ind w:left="380"/>
        <w:jc w:val="left"/>
        <w:textAlignment w:val="center"/>
        <w:rPr>
          <w:sz w:val="21"/>
        </w:rPr>
      </w:pPr>
      <w:r>
        <w:rPr>
          <w:sz w:val="21"/>
        </w:rPr>
        <w:t>A．始终处于世界经济边缘地位</w:t>
      </w:r>
      <w:r>
        <w:rPr>
          <w:rFonts w:hint="eastAsia"/>
          <w:sz w:val="21"/>
          <w:lang w:val="en-US" w:eastAsia="zh-CN"/>
        </w:rPr>
        <w:t xml:space="preserve">         </w:t>
      </w:r>
      <w:r>
        <w:rPr>
          <w:sz w:val="21"/>
        </w:rPr>
        <w:t>B．殖民经济模式影响深远</w:t>
      </w:r>
    </w:p>
    <w:p w14:paraId="7907BF5F">
      <w:pPr>
        <w:shd w:val="clear" w:color="auto" w:fill="auto"/>
        <w:spacing w:line="240" w:lineRule="auto"/>
        <w:ind w:left="380"/>
        <w:jc w:val="left"/>
        <w:textAlignment w:val="center"/>
        <w:rPr>
          <w:sz w:val="21"/>
        </w:rPr>
      </w:pPr>
      <w:r>
        <w:rPr>
          <w:sz w:val="21"/>
        </w:rPr>
        <w:t>C．海外贸易成为经济新增长极</w:t>
      </w:r>
      <w:r>
        <w:rPr>
          <w:rFonts w:hint="eastAsia"/>
          <w:sz w:val="21"/>
          <w:lang w:val="en-US" w:eastAsia="zh-CN"/>
        </w:rPr>
        <w:t xml:space="preserve">         </w:t>
      </w:r>
      <w:r>
        <w:rPr>
          <w:sz w:val="21"/>
        </w:rPr>
        <w:t>D．国家发展水平极不平衡</w:t>
      </w:r>
    </w:p>
    <w:p w14:paraId="11387415">
      <w:pPr>
        <w:spacing w:line="240" w:lineRule="auto"/>
        <w:jc w:val="center"/>
        <w:textAlignment w:val="center"/>
        <w:rPr>
          <w:rFonts w:ascii="黑体" w:hAnsi="黑体" w:eastAsia="黑体" w:cs="黑体"/>
          <w:b/>
          <w:i w:val="0"/>
          <w:color w:val="000000"/>
          <w:sz w:val="30"/>
        </w:rPr>
      </w:pPr>
    </w:p>
    <w:p w14:paraId="1CA64754">
      <w:pPr>
        <w:keepNext w:val="0"/>
        <w:keepLines w:val="0"/>
        <w:pageBreakBefore w:val="0"/>
        <w:widowControl w:val="0"/>
        <w:tabs>
          <w:tab w:val="left" w:pos="4873"/>
        </w:tabs>
        <w:kinsoku/>
        <w:wordWrap/>
        <w:overflowPunct/>
        <w:topLinePunct w:val="0"/>
        <w:autoSpaceDE/>
        <w:autoSpaceDN/>
        <w:bidi w:val="0"/>
        <w:adjustRightInd/>
        <w:snapToGrid/>
        <w:spacing w:line="240" w:lineRule="auto"/>
        <w:jc w:val="left"/>
        <w:textAlignment w:val="center"/>
        <w:rPr>
          <w:rFonts w:ascii="宋体" w:hAnsi="宋体"/>
          <w:color w:val="000000"/>
          <w:kern w:val="2"/>
          <w:sz w:val="21"/>
          <w:szCs w:val="21"/>
        </w:rPr>
      </w:pPr>
      <w:r>
        <w:rPr>
          <w:rFonts w:ascii="宋体" w:hAnsi="宋体" w:cs="宋体"/>
          <w:b/>
          <w:bCs/>
          <w:color w:val="000000"/>
          <w:kern w:val="2"/>
          <w:sz w:val="21"/>
          <w:szCs w:val="21"/>
        </w:rPr>
        <w:t>二</w:t>
      </w:r>
      <w:r>
        <w:rPr>
          <w:rFonts w:hint="eastAsia" w:ascii="宋体" w:hAnsi="宋体" w:cs="宋体"/>
          <w:b/>
          <w:bCs/>
          <w:color w:val="000000"/>
          <w:kern w:val="2"/>
          <w:sz w:val="21"/>
          <w:szCs w:val="21"/>
        </w:rPr>
        <w:t>、</w:t>
      </w:r>
      <w:r>
        <w:rPr>
          <w:rFonts w:ascii="宋体" w:hAnsi="宋体" w:cs="宋体"/>
          <w:b/>
          <w:bCs/>
          <w:color w:val="000000"/>
          <w:kern w:val="2"/>
          <w:sz w:val="21"/>
          <w:szCs w:val="21"/>
        </w:rPr>
        <w:t>非选择题</w:t>
      </w:r>
      <w:r>
        <w:rPr>
          <w:rFonts w:hint="eastAsia" w:ascii="宋体" w:hAnsi="宋体" w:cs="宋体"/>
          <w:b/>
          <w:bCs/>
          <w:color w:val="000000"/>
          <w:kern w:val="2"/>
          <w:sz w:val="21"/>
          <w:szCs w:val="21"/>
        </w:rPr>
        <w:t>（本大题共4小题，第1</w:t>
      </w:r>
      <w:r>
        <w:rPr>
          <w:rFonts w:hint="eastAsia" w:ascii="宋体" w:hAnsi="宋体" w:cs="宋体"/>
          <w:b/>
          <w:bCs/>
          <w:color w:val="000000"/>
          <w:kern w:val="2"/>
          <w:sz w:val="21"/>
          <w:szCs w:val="21"/>
          <w:lang w:val="en-US" w:eastAsia="zh-CN"/>
        </w:rPr>
        <w:t>6</w:t>
      </w:r>
      <w:r>
        <w:rPr>
          <w:rFonts w:hint="eastAsia" w:ascii="宋体" w:hAnsi="宋体" w:cs="宋体"/>
          <w:b/>
          <w:bCs/>
          <w:color w:val="000000"/>
          <w:kern w:val="2"/>
          <w:sz w:val="21"/>
          <w:szCs w:val="21"/>
        </w:rPr>
        <w:t>题1</w:t>
      </w:r>
      <w:r>
        <w:rPr>
          <w:rFonts w:hint="eastAsia" w:ascii="宋体" w:hAnsi="宋体" w:cs="宋体"/>
          <w:b/>
          <w:bCs/>
          <w:color w:val="000000"/>
          <w:kern w:val="2"/>
          <w:sz w:val="21"/>
          <w:szCs w:val="21"/>
          <w:lang w:val="en-US" w:eastAsia="zh-CN"/>
        </w:rPr>
        <w:t>4</w:t>
      </w:r>
      <w:r>
        <w:rPr>
          <w:rFonts w:hint="eastAsia" w:ascii="宋体" w:hAnsi="宋体" w:cs="宋体"/>
          <w:b/>
          <w:bCs/>
          <w:color w:val="000000"/>
          <w:kern w:val="2"/>
          <w:sz w:val="21"/>
          <w:szCs w:val="21"/>
        </w:rPr>
        <w:t>分，第1</w:t>
      </w:r>
      <w:r>
        <w:rPr>
          <w:rFonts w:hint="eastAsia" w:ascii="宋体" w:hAnsi="宋体" w:cs="宋体"/>
          <w:b/>
          <w:bCs/>
          <w:color w:val="000000"/>
          <w:kern w:val="2"/>
          <w:sz w:val="21"/>
          <w:szCs w:val="21"/>
          <w:lang w:val="en-US" w:eastAsia="zh-CN"/>
        </w:rPr>
        <w:t>7</w:t>
      </w:r>
      <w:r>
        <w:rPr>
          <w:rFonts w:hint="eastAsia" w:ascii="宋体" w:hAnsi="宋体" w:cs="宋体"/>
          <w:b/>
          <w:bCs/>
          <w:color w:val="000000"/>
          <w:kern w:val="2"/>
          <w:sz w:val="21"/>
          <w:szCs w:val="21"/>
        </w:rPr>
        <w:t>题1</w:t>
      </w:r>
      <w:r>
        <w:rPr>
          <w:rFonts w:hint="eastAsia" w:ascii="宋体" w:hAnsi="宋体" w:cs="宋体"/>
          <w:b/>
          <w:bCs/>
          <w:color w:val="000000"/>
          <w:kern w:val="2"/>
          <w:sz w:val="21"/>
          <w:szCs w:val="21"/>
          <w:lang w:val="en-US" w:eastAsia="zh-CN"/>
        </w:rPr>
        <w:t>4</w:t>
      </w:r>
      <w:r>
        <w:rPr>
          <w:rFonts w:hint="eastAsia" w:ascii="宋体" w:hAnsi="宋体" w:cs="宋体"/>
          <w:b/>
          <w:bCs/>
          <w:color w:val="000000"/>
          <w:kern w:val="2"/>
          <w:sz w:val="21"/>
          <w:szCs w:val="21"/>
        </w:rPr>
        <w:t>分，第1</w:t>
      </w:r>
      <w:r>
        <w:rPr>
          <w:rFonts w:hint="eastAsia" w:ascii="宋体" w:hAnsi="宋体" w:cs="宋体"/>
          <w:b/>
          <w:bCs/>
          <w:color w:val="000000"/>
          <w:kern w:val="2"/>
          <w:sz w:val="21"/>
          <w:szCs w:val="21"/>
          <w:lang w:val="en-US" w:eastAsia="zh-CN"/>
        </w:rPr>
        <w:t>8</w:t>
      </w:r>
      <w:r>
        <w:rPr>
          <w:rFonts w:hint="eastAsia" w:ascii="宋体" w:hAnsi="宋体" w:cs="宋体"/>
          <w:b/>
          <w:bCs/>
          <w:color w:val="000000"/>
          <w:kern w:val="2"/>
          <w:sz w:val="21"/>
          <w:szCs w:val="21"/>
        </w:rPr>
        <w:t>题1</w:t>
      </w:r>
      <w:r>
        <w:rPr>
          <w:rFonts w:hint="eastAsia" w:ascii="宋体" w:hAnsi="宋体" w:cs="宋体"/>
          <w:b/>
          <w:bCs/>
          <w:color w:val="000000"/>
          <w:kern w:val="2"/>
          <w:sz w:val="21"/>
          <w:szCs w:val="21"/>
          <w:lang w:val="en-US" w:eastAsia="zh-CN"/>
        </w:rPr>
        <w:t>4</w:t>
      </w:r>
      <w:r>
        <w:rPr>
          <w:rFonts w:hint="eastAsia" w:ascii="宋体" w:hAnsi="宋体" w:cs="宋体"/>
          <w:b/>
          <w:bCs/>
          <w:color w:val="000000"/>
          <w:kern w:val="2"/>
          <w:sz w:val="21"/>
          <w:szCs w:val="21"/>
        </w:rPr>
        <w:t>分，第</w:t>
      </w:r>
      <w:r>
        <w:rPr>
          <w:rFonts w:hint="eastAsia" w:ascii="宋体" w:hAnsi="宋体" w:cs="宋体"/>
          <w:b/>
          <w:bCs/>
          <w:color w:val="000000"/>
          <w:kern w:val="2"/>
          <w:sz w:val="21"/>
          <w:szCs w:val="21"/>
          <w:lang w:val="en-US" w:eastAsia="zh-CN"/>
        </w:rPr>
        <w:t>19</w:t>
      </w:r>
      <w:r>
        <w:rPr>
          <w:rFonts w:hint="eastAsia" w:ascii="宋体" w:hAnsi="宋体" w:cs="宋体"/>
          <w:b/>
          <w:bCs/>
          <w:color w:val="000000"/>
          <w:kern w:val="2"/>
          <w:sz w:val="21"/>
          <w:szCs w:val="21"/>
        </w:rPr>
        <w:t>题1</w:t>
      </w:r>
      <w:r>
        <w:rPr>
          <w:rFonts w:hint="eastAsia" w:ascii="宋体" w:hAnsi="宋体" w:cs="宋体"/>
          <w:b/>
          <w:bCs/>
          <w:color w:val="000000"/>
          <w:kern w:val="2"/>
          <w:sz w:val="21"/>
          <w:szCs w:val="21"/>
          <w:lang w:val="en-US" w:eastAsia="zh-CN"/>
        </w:rPr>
        <w:t>3</w:t>
      </w:r>
      <w:r>
        <w:rPr>
          <w:rFonts w:hint="eastAsia" w:ascii="宋体" w:hAnsi="宋体" w:cs="宋体"/>
          <w:b/>
          <w:bCs/>
          <w:color w:val="000000"/>
          <w:kern w:val="2"/>
          <w:sz w:val="21"/>
          <w:szCs w:val="21"/>
        </w:rPr>
        <w:t>分。）</w:t>
      </w:r>
    </w:p>
    <w:p w14:paraId="0B53DCFD">
      <w:pPr>
        <w:shd w:val="clear" w:color="auto" w:fill="auto"/>
        <w:spacing w:line="240" w:lineRule="auto"/>
        <w:jc w:val="left"/>
        <w:textAlignment w:val="center"/>
        <w:rPr>
          <w:sz w:val="21"/>
        </w:rPr>
      </w:pPr>
      <w:r>
        <w:rPr>
          <w:sz w:val="21"/>
        </w:rPr>
        <w:t>16．阅读材料，回答问题。</w:t>
      </w:r>
      <w:r>
        <w:rPr>
          <w:rFonts w:hint="eastAsia"/>
          <w:sz w:val="21"/>
          <w:lang w:eastAsia="zh-CN"/>
        </w:rPr>
        <w:t>（</w:t>
      </w:r>
      <w:r>
        <w:rPr>
          <w:rFonts w:hint="eastAsia"/>
          <w:sz w:val="21"/>
          <w:lang w:val="en-US" w:eastAsia="zh-CN"/>
        </w:rPr>
        <w:t>14分</w:t>
      </w:r>
      <w:r>
        <w:rPr>
          <w:rFonts w:hint="eastAsia"/>
          <w:sz w:val="21"/>
          <w:lang w:eastAsia="zh-CN"/>
        </w:rPr>
        <w:t>）</w:t>
      </w:r>
    </w:p>
    <w:p w14:paraId="0F2315CF">
      <w:pPr>
        <w:shd w:val="clear" w:color="auto" w:fill="auto"/>
        <w:spacing w:line="240" w:lineRule="auto"/>
        <w:jc w:val="left"/>
        <w:textAlignment w:val="center"/>
        <w:rPr>
          <w:sz w:val="21"/>
        </w:rPr>
      </w:pPr>
      <w:r>
        <w:rPr>
          <w:rFonts w:ascii="楷体" w:hAnsi="楷体" w:eastAsia="楷体" w:cs="楷体"/>
          <w:sz w:val="21"/>
        </w:rPr>
        <w:t>材料一</w:t>
      </w:r>
      <w:r>
        <w:rPr>
          <w:sz w:val="21"/>
        </w:rPr>
        <w:t xml:space="preserve">  </w:t>
      </w:r>
      <w:r>
        <w:rPr>
          <w:rFonts w:ascii="楷体" w:hAnsi="楷体" w:eastAsia="楷体" w:cs="楷体"/>
          <w:sz w:val="21"/>
        </w:rPr>
        <w:t>先秦时期的战争规定有一些具体的礼制原则。《左传》记载，宋楚泓水之战中，宋襄公因未能听取属下建议</w:t>
      </w:r>
      <w:r>
        <w:rPr>
          <w:sz w:val="21"/>
        </w:rPr>
        <w:t>——</w:t>
      </w:r>
      <w:r>
        <w:rPr>
          <w:rFonts w:ascii="楷体" w:hAnsi="楷体" w:eastAsia="楷体" w:cs="楷体"/>
          <w:sz w:val="21"/>
        </w:rPr>
        <w:t>利用楚军渡河以及未摆好阵型的机会发动进攻而战败。面对宋国人的谴责，宋襄公辩护说：</w:t>
      </w:r>
      <w:r>
        <w:rPr>
          <w:sz w:val="21"/>
        </w:rPr>
        <w:t>“</w:t>
      </w:r>
      <w:r>
        <w:rPr>
          <w:rFonts w:ascii="楷体" w:hAnsi="楷体" w:eastAsia="楷体" w:cs="楷体"/>
          <w:sz w:val="21"/>
        </w:rPr>
        <w:t>古之为军也，不以阻隘也。寡人虽亡国之余，不鼓不成列。</w:t>
      </w:r>
      <w:r>
        <w:rPr>
          <w:sz w:val="21"/>
        </w:rPr>
        <w:t>”</w:t>
      </w:r>
      <w:r>
        <w:rPr>
          <w:rFonts w:ascii="楷体" w:hAnsi="楷体" w:eastAsia="楷体" w:cs="楷体"/>
          <w:sz w:val="21"/>
        </w:rPr>
        <w:t>《司马法》还说到战争的发动</w:t>
      </w:r>
      <w:r>
        <w:rPr>
          <w:sz w:val="21"/>
        </w:rPr>
        <w:t>“</w:t>
      </w:r>
      <w:r>
        <w:rPr>
          <w:rFonts w:ascii="楷体" w:hAnsi="楷体" w:eastAsia="楷体" w:cs="楷体"/>
          <w:sz w:val="21"/>
        </w:rPr>
        <w:t>不加丧，不因凶（灾荒）</w:t>
      </w:r>
      <w:r>
        <w:rPr>
          <w:sz w:val="21"/>
        </w:rPr>
        <w:t>”</w:t>
      </w:r>
      <w:r>
        <w:rPr>
          <w:rFonts w:ascii="楷体" w:hAnsi="楷体" w:eastAsia="楷体" w:cs="楷体"/>
          <w:sz w:val="21"/>
        </w:rPr>
        <w:t>。如《左传》记载：</w:t>
      </w:r>
      <w:r>
        <w:rPr>
          <w:sz w:val="21"/>
        </w:rPr>
        <w:t>“</w:t>
      </w:r>
      <w:r>
        <w:rPr>
          <w:rFonts w:ascii="楷体" w:hAnsi="楷体" w:eastAsia="楷体" w:cs="楷体"/>
          <w:sz w:val="21"/>
        </w:rPr>
        <w:t>陈成公卒。楚人将伐陈，问丧乃止。</w:t>
      </w:r>
      <w:r>
        <w:rPr>
          <w:sz w:val="21"/>
        </w:rPr>
        <w:t>”</w:t>
      </w:r>
      <w:r>
        <w:rPr>
          <w:rFonts w:ascii="楷体" w:hAnsi="楷体" w:eastAsia="楷体" w:cs="楷体"/>
          <w:sz w:val="21"/>
        </w:rPr>
        <w:t>《荀子</w:t>
      </w:r>
      <w:r>
        <w:rPr>
          <w:sz w:val="21"/>
        </w:rPr>
        <w:t>·</w:t>
      </w:r>
      <w:r>
        <w:rPr>
          <w:rFonts w:ascii="楷体" w:hAnsi="楷体" w:eastAsia="楷体" w:cs="楷体"/>
          <w:sz w:val="21"/>
        </w:rPr>
        <w:t>议兵》对战争明确要求：</w:t>
      </w:r>
      <w:r>
        <w:rPr>
          <w:sz w:val="21"/>
        </w:rPr>
        <w:t>“</w:t>
      </w:r>
      <w:r>
        <w:rPr>
          <w:rFonts w:ascii="楷体" w:hAnsi="楷体" w:eastAsia="楷体" w:cs="楷体"/>
          <w:sz w:val="21"/>
        </w:rPr>
        <w:t>凡诛，非诛其百姓也，诛乱百姓者也。</w:t>
      </w:r>
      <w:r>
        <w:rPr>
          <w:sz w:val="21"/>
        </w:rPr>
        <w:t>”</w:t>
      </w:r>
    </w:p>
    <w:p w14:paraId="4C09256D">
      <w:pPr>
        <w:shd w:val="clear" w:color="auto" w:fill="auto"/>
        <w:spacing w:line="240" w:lineRule="auto"/>
        <w:ind w:left="20" w:firstLine="540"/>
        <w:jc w:val="right"/>
        <w:textAlignment w:val="center"/>
        <w:rPr>
          <w:sz w:val="21"/>
        </w:rPr>
      </w:pPr>
      <w:r>
        <w:rPr>
          <w:sz w:val="21"/>
        </w:rPr>
        <w:t>——</w:t>
      </w:r>
      <w:r>
        <w:rPr>
          <w:rFonts w:ascii="楷体" w:hAnsi="楷体" w:eastAsia="楷体" w:cs="楷体"/>
          <w:sz w:val="21"/>
        </w:rPr>
        <w:t>摘编自曹建墩《先秦礼制探赜》</w:t>
      </w:r>
    </w:p>
    <w:p w14:paraId="16053D59">
      <w:pPr>
        <w:shd w:val="clear" w:color="auto" w:fill="auto"/>
        <w:spacing w:line="240" w:lineRule="auto"/>
        <w:jc w:val="left"/>
        <w:textAlignment w:val="center"/>
        <w:rPr>
          <w:sz w:val="21"/>
        </w:rPr>
      </w:pPr>
      <w:r>
        <w:rPr>
          <w:rFonts w:ascii="楷体" w:hAnsi="楷体" w:eastAsia="楷体" w:cs="楷体"/>
          <w:sz w:val="21"/>
        </w:rPr>
        <w:t>材料二</w:t>
      </w:r>
      <w:r>
        <w:rPr>
          <w:sz w:val="21"/>
        </w:rPr>
        <w:t xml:space="preserve">  </w:t>
      </w:r>
      <w:r>
        <w:rPr>
          <w:rFonts w:ascii="楷体" w:hAnsi="楷体" w:eastAsia="楷体" w:cs="楷体"/>
          <w:sz w:val="21"/>
        </w:rPr>
        <w:t>全面抗战时期，侵华日军集中主要航空兵力，对以重庆为中心的后方城市进行了长时间的轰炸。</w:t>
      </w:r>
      <w:r>
        <w:rPr>
          <w:sz w:val="21"/>
        </w:rPr>
        <w:t>1939</w:t>
      </w:r>
      <w:r>
        <w:rPr>
          <w:rFonts w:ascii="楷体" w:hAnsi="楷体" w:eastAsia="楷体" w:cs="楷体"/>
          <w:sz w:val="21"/>
        </w:rPr>
        <w:t>年</w:t>
      </w:r>
      <w:r>
        <w:rPr>
          <w:sz w:val="21"/>
        </w:rPr>
        <w:t>5</w:t>
      </w:r>
      <w:r>
        <w:rPr>
          <w:rFonts w:ascii="楷体" w:hAnsi="楷体" w:eastAsia="楷体" w:cs="楷体"/>
          <w:sz w:val="21"/>
        </w:rPr>
        <w:t>月</w:t>
      </w:r>
      <w:r>
        <w:rPr>
          <w:sz w:val="21"/>
        </w:rPr>
        <w:t>16</w:t>
      </w:r>
      <w:r>
        <w:rPr>
          <w:rFonts w:ascii="楷体" w:hAnsi="楷体" w:eastAsia="楷体" w:cs="楷体"/>
          <w:sz w:val="21"/>
        </w:rPr>
        <w:t>日，中国政府发表告各省市政府与全国同胞书，明确指出，日军对后方城市的轰炸，</w:t>
      </w:r>
      <w:r>
        <w:rPr>
          <w:sz w:val="21"/>
        </w:rPr>
        <w:t>“</w:t>
      </w:r>
      <w:r>
        <w:rPr>
          <w:rFonts w:ascii="楷体" w:hAnsi="楷体" w:eastAsia="楷体" w:cs="楷体"/>
          <w:sz w:val="21"/>
        </w:rPr>
        <w:t>其一，欲以不断的轰炸威胁，威胁吾全国民众抗战之精神，希冀吾同胞之屈膝投降；其二，欲以猛烈之轰炸，断绝吾同胞之生活，企图吾同胞于流离失所之中，减少生产，影响抗战之前途；其三，欲以集中的轰炸，妨害我社会之安宁，妄想扰吾之秩序</w:t>
      </w:r>
      <w:r>
        <w:rPr>
          <w:sz w:val="21"/>
        </w:rPr>
        <w:t>”</w:t>
      </w:r>
      <w:r>
        <w:rPr>
          <w:rFonts w:ascii="楷体" w:hAnsi="楷体" w:eastAsia="楷体" w:cs="楷体"/>
          <w:sz w:val="21"/>
        </w:rPr>
        <w:t>，号召动员全社会的力量来应对大轰炸、大灾难后的紧急局面。</w:t>
      </w:r>
    </w:p>
    <w:p w14:paraId="7229F58A">
      <w:pPr>
        <w:shd w:val="clear" w:color="auto" w:fill="auto"/>
        <w:spacing w:line="240" w:lineRule="auto"/>
        <w:ind w:left="20" w:firstLine="540"/>
        <w:jc w:val="right"/>
        <w:textAlignment w:val="center"/>
        <w:rPr>
          <w:sz w:val="21"/>
        </w:rPr>
      </w:pPr>
      <w:r>
        <w:rPr>
          <w:sz w:val="21"/>
        </w:rPr>
        <w:t>——</w:t>
      </w:r>
      <w:r>
        <w:rPr>
          <w:rFonts w:ascii="楷体" w:hAnsi="楷体" w:eastAsia="楷体" w:cs="楷体"/>
          <w:sz w:val="21"/>
        </w:rPr>
        <w:t>摘编自潘洵《抗日战争时期重庆大轰炸研究》</w:t>
      </w:r>
    </w:p>
    <w:p w14:paraId="425E497E">
      <w:pPr>
        <w:shd w:val="clear" w:color="auto" w:fill="auto"/>
        <w:spacing w:line="240" w:lineRule="auto"/>
        <w:jc w:val="left"/>
        <w:textAlignment w:val="center"/>
        <w:rPr>
          <w:sz w:val="21"/>
        </w:rPr>
      </w:pPr>
      <w:r>
        <w:rPr>
          <w:rFonts w:ascii="楷体" w:hAnsi="楷体" w:eastAsia="楷体" w:cs="楷体"/>
          <w:sz w:val="21"/>
        </w:rPr>
        <w:t>材料三</w:t>
      </w:r>
      <w:r>
        <w:rPr>
          <w:sz w:val="21"/>
        </w:rPr>
        <w:t xml:space="preserve">  1949</w:t>
      </w:r>
      <w:r>
        <w:rPr>
          <w:rFonts w:ascii="楷体" w:hAnsi="楷体" w:eastAsia="楷体" w:cs="楷体"/>
          <w:sz w:val="21"/>
        </w:rPr>
        <w:t>年《日内瓦公约》对战时平民权利做了详细规定。受保护平民必须被允许以私人方式传递家庭信息，并被协助获知冲突中失散家庭成员的信息，他们也必须被允许依照自身的信仰来进行宗教活动。不管何地，只要可能，受保护的平民都应家庭团聚，并为之提供便利，使正常家庭生活得以进行。受伤或患病的平民，民用医院和医护人员都必须被特别对待，并置于红十字或新月组织的保护之下。受保护平民不能被用于人体盾牌，也不能被施以任何集体惩罚、酷刑、伤残或其他不人道之对待。</w:t>
      </w:r>
    </w:p>
    <w:p w14:paraId="66BF9083">
      <w:pPr>
        <w:shd w:val="clear" w:color="auto" w:fill="auto"/>
        <w:spacing w:line="240" w:lineRule="auto"/>
        <w:ind w:left="20" w:firstLine="540"/>
        <w:jc w:val="right"/>
        <w:textAlignment w:val="center"/>
        <w:rPr>
          <w:sz w:val="21"/>
        </w:rPr>
      </w:pPr>
      <w:r>
        <w:rPr>
          <w:sz w:val="21"/>
        </w:rPr>
        <w:t>——</w:t>
      </w:r>
      <w:r>
        <w:rPr>
          <w:rFonts w:ascii="楷体" w:hAnsi="楷体" w:eastAsia="楷体" w:cs="楷体"/>
          <w:sz w:val="21"/>
        </w:rPr>
        <w:t>摘编自斯科特</w:t>
      </w:r>
      <w:r>
        <w:rPr>
          <w:sz w:val="21"/>
        </w:rPr>
        <w:t>·</w:t>
      </w:r>
      <w:r>
        <w:rPr>
          <w:rFonts w:ascii="楷体" w:hAnsi="楷体" w:eastAsia="楷体" w:cs="楷体"/>
          <w:sz w:val="21"/>
        </w:rPr>
        <w:t>克里斯蒂安《改变世界历史进程的</w:t>
      </w:r>
      <w:r>
        <w:rPr>
          <w:sz w:val="21"/>
        </w:rPr>
        <w:t>100</w:t>
      </w:r>
      <w:r>
        <w:rPr>
          <w:rFonts w:ascii="楷体" w:hAnsi="楷体" w:eastAsia="楷体" w:cs="楷体"/>
          <w:sz w:val="21"/>
        </w:rPr>
        <w:t>份文件》</w:t>
      </w:r>
    </w:p>
    <w:p w14:paraId="5E638320">
      <w:pPr>
        <w:shd w:val="clear" w:color="auto" w:fill="auto"/>
        <w:spacing w:line="240" w:lineRule="auto"/>
        <w:jc w:val="left"/>
        <w:textAlignment w:val="center"/>
        <w:rPr>
          <w:rFonts w:hint="eastAsia" w:eastAsia="宋体"/>
          <w:sz w:val="21"/>
          <w:lang w:eastAsia="zh-CN"/>
        </w:rPr>
      </w:pPr>
      <w:r>
        <w:rPr>
          <w:sz w:val="21"/>
        </w:rPr>
        <w:t>(1)根据材料一，归纳先秦时期战争礼制的原则。</w:t>
      </w:r>
      <w:r>
        <w:rPr>
          <w:rFonts w:hint="eastAsia"/>
          <w:sz w:val="21"/>
          <w:lang w:eastAsia="zh-CN"/>
        </w:rPr>
        <w:t>（</w:t>
      </w:r>
      <w:r>
        <w:rPr>
          <w:rFonts w:hint="eastAsia"/>
          <w:sz w:val="21"/>
          <w:lang w:val="en-US" w:eastAsia="zh-CN"/>
        </w:rPr>
        <w:t>3分</w:t>
      </w:r>
      <w:r>
        <w:rPr>
          <w:rFonts w:hint="eastAsia"/>
          <w:sz w:val="21"/>
          <w:lang w:eastAsia="zh-CN"/>
        </w:rPr>
        <w:t>）</w:t>
      </w:r>
    </w:p>
    <w:p w14:paraId="4B2296AD">
      <w:pPr>
        <w:shd w:val="clear" w:color="auto" w:fill="auto"/>
        <w:spacing w:line="240" w:lineRule="auto"/>
        <w:jc w:val="left"/>
        <w:textAlignment w:val="center"/>
        <w:rPr>
          <w:sz w:val="21"/>
        </w:rPr>
      </w:pPr>
    </w:p>
    <w:p w14:paraId="0522FFC2">
      <w:pPr>
        <w:shd w:val="clear" w:color="auto" w:fill="auto"/>
        <w:spacing w:line="240" w:lineRule="auto"/>
        <w:jc w:val="left"/>
        <w:textAlignment w:val="center"/>
        <w:rPr>
          <w:sz w:val="21"/>
        </w:rPr>
      </w:pPr>
    </w:p>
    <w:p w14:paraId="074B6A16">
      <w:pPr>
        <w:pStyle w:val="2"/>
      </w:pPr>
    </w:p>
    <w:p w14:paraId="04455FC2">
      <w:pPr>
        <w:shd w:val="clear" w:color="auto" w:fill="auto"/>
        <w:spacing w:line="240" w:lineRule="auto"/>
        <w:jc w:val="left"/>
        <w:textAlignment w:val="center"/>
        <w:rPr>
          <w:sz w:val="21"/>
        </w:rPr>
      </w:pPr>
      <w:r>
        <w:rPr>
          <w:sz w:val="21"/>
        </w:rPr>
        <w:t>(2)根据材料二并结合所学知识，指出日军轰炸后方城市的目的和手段。</w:t>
      </w:r>
      <w:r>
        <w:rPr>
          <w:rFonts w:hint="eastAsia"/>
          <w:sz w:val="21"/>
          <w:lang w:eastAsia="zh-CN"/>
        </w:rPr>
        <w:t>（</w:t>
      </w:r>
      <w:r>
        <w:rPr>
          <w:rFonts w:hint="eastAsia"/>
          <w:sz w:val="21"/>
          <w:lang w:val="en-US" w:eastAsia="zh-CN"/>
        </w:rPr>
        <w:t>8分</w:t>
      </w:r>
      <w:r>
        <w:rPr>
          <w:rFonts w:hint="eastAsia"/>
          <w:sz w:val="21"/>
          <w:lang w:eastAsia="zh-CN"/>
        </w:rPr>
        <w:t>）</w:t>
      </w:r>
    </w:p>
    <w:p w14:paraId="765A14F8">
      <w:pPr>
        <w:shd w:val="clear" w:color="auto" w:fill="auto"/>
        <w:spacing w:line="240" w:lineRule="auto"/>
        <w:jc w:val="left"/>
        <w:textAlignment w:val="center"/>
        <w:rPr>
          <w:sz w:val="21"/>
        </w:rPr>
      </w:pPr>
    </w:p>
    <w:p w14:paraId="5E19E981">
      <w:pPr>
        <w:shd w:val="clear" w:color="auto" w:fill="auto"/>
        <w:spacing w:line="240" w:lineRule="auto"/>
        <w:jc w:val="left"/>
        <w:textAlignment w:val="center"/>
        <w:rPr>
          <w:sz w:val="21"/>
        </w:rPr>
      </w:pPr>
    </w:p>
    <w:p w14:paraId="4681CDF7">
      <w:pPr>
        <w:pStyle w:val="2"/>
        <w:ind w:left="0" w:leftChars="0" w:firstLine="0" w:firstLineChars="0"/>
        <w:rPr>
          <w:sz w:val="21"/>
        </w:rPr>
      </w:pPr>
    </w:p>
    <w:p w14:paraId="4239F8A3">
      <w:pPr>
        <w:pStyle w:val="2"/>
        <w:rPr>
          <w:sz w:val="21"/>
        </w:rPr>
      </w:pPr>
    </w:p>
    <w:p w14:paraId="6457E4B4">
      <w:pPr>
        <w:shd w:val="clear" w:color="auto" w:fill="auto"/>
        <w:spacing w:line="240" w:lineRule="auto"/>
        <w:jc w:val="left"/>
        <w:textAlignment w:val="center"/>
        <w:rPr>
          <w:rFonts w:hint="eastAsia" w:eastAsia="宋体"/>
          <w:sz w:val="21"/>
          <w:lang w:eastAsia="zh-CN"/>
        </w:rPr>
      </w:pPr>
      <w:r>
        <w:rPr>
          <w:sz w:val="21"/>
        </w:rPr>
        <w:t>(3)根据材料三并结合所学知识，概括1949年《日内瓦公约》中战时平民权利的主要内容。</w:t>
      </w:r>
      <w:r>
        <w:rPr>
          <w:rFonts w:hint="eastAsia"/>
          <w:sz w:val="21"/>
          <w:lang w:eastAsia="zh-CN"/>
        </w:rPr>
        <w:t>（</w:t>
      </w:r>
      <w:r>
        <w:rPr>
          <w:rFonts w:hint="eastAsia"/>
          <w:sz w:val="21"/>
          <w:lang w:val="en-US" w:eastAsia="zh-CN"/>
        </w:rPr>
        <w:t>3分</w:t>
      </w:r>
      <w:r>
        <w:rPr>
          <w:rFonts w:hint="eastAsia"/>
          <w:sz w:val="21"/>
          <w:lang w:eastAsia="zh-CN"/>
        </w:rPr>
        <w:t>）</w:t>
      </w:r>
    </w:p>
    <w:p w14:paraId="58E44C70">
      <w:pPr>
        <w:shd w:val="clear" w:color="auto" w:fill="auto"/>
        <w:spacing w:line="240" w:lineRule="auto"/>
        <w:jc w:val="left"/>
        <w:textAlignment w:val="center"/>
        <w:rPr>
          <w:sz w:val="21"/>
        </w:rPr>
      </w:pPr>
    </w:p>
    <w:p w14:paraId="1183A658">
      <w:pPr>
        <w:pStyle w:val="2"/>
        <w:spacing w:line="240" w:lineRule="auto"/>
        <w:rPr>
          <w:sz w:val="21"/>
        </w:rPr>
      </w:pPr>
    </w:p>
    <w:p w14:paraId="3F87BD2E">
      <w:pPr>
        <w:pStyle w:val="2"/>
        <w:spacing w:line="240" w:lineRule="auto"/>
        <w:rPr>
          <w:sz w:val="21"/>
        </w:rPr>
      </w:pPr>
    </w:p>
    <w:p w14:paraId="3ED57962">
      <w:pPr>
        <w:shd w:val="clear" w:color="auto" w:fill="auto"/>
        <w:spacing w:line="240" w:lineRule="auto"/>
        <w:jc w:val="left"/>
        <w:textAlignment w:val="center"/>
        <w:rPr>
          <w:sz w:val="21"/>
        </w:rPr>
      </w:pPr>
      <w:r>
        <w:rPr>
          <w:sz w:val="21"/>
        </w:rPr>
        <w:t>17．阅读材料，回答问题。</w:t>
      </w:r>
      <w:r>
        <w:rPr>
          <w:rFonts w:hint="eastAsia"/>
          <w:sz w:val="21"/>
          <w:lang w:eastAsia="zh-CN"/>
        </w:rPr>
        <w:t>（</w:t>
      </w:r>
      <w:r>
        <w:rPr>
          <w:rFonts w:hint="eastAsia"/>
          <w:sz w:val="21"/>
          <w:lang w:val="en-US" w:eastAsia="zh-CN"/>
        </w:rPr>
        <w:t>14分</w:t>
      </w:r>
      <w:r>
        <w:rPr>
          <w:rFonts w:hint="eastAsia"/>
          <w:sz w:val="21"/>
          <w:lang w:eastAsia="zh-CN"/>
        </w:rPr>
        <w:t>）</w:t>
      </w:r>
    </w:p>
    <w:p w14:paraId="45C8445C">
      <w:pPr>
        <w:shd w:val="clear" w:color="auto" w:fill="auto"/>
        <w:spacing w:line="240" w:lineRule="auto"/>
        <w:jc w:val="left"/>
        <w:textAlignment w:val="center"/>
        <w:rPr>
          <w:sz w:val="21"/>
        </w:rPr>
      </w:pPr>
      <w:r>
        <w:rPr>
          <w:rFonts w:ascii="楷体" w:hAnsi="楷体" w:eastAsia="楷体" w:cs="楷体"/>
          <w:sz w:val="21"/>
        </w:rPr>
        <w:t>材料一</w:t>
      </w:r>
      <w:r>
        <w:rPr>
          <w:rFonts w:ascii="Times New Roman" w:hAnsi="Times New Roman" w:eastAsia="Times New Roman" w:cs="Times New Roman"/>
          <w:kern w:val="0"/>
          <w:sz w:val="24"/>
          <w:szCs w:val="24"/>
        </w:rPr>
        <w:t>  </w:t>
      </w:r>
      <w:r>
        <w:rPr>
          <w:rFonts w:ascii="楷体" w:hAnsi="楷体" w:eastAsia="楷体" w:cs="楷体"/>
          <w:sz w:val="21"/>
        </w:rPr>
        <w:t>下面分别是1914年和1924年的欧洲地图。</w:t>
      </w:r>
    </w:p>
    <w:p w14:paraId="311AC65A">
      <w:pPr>
        <w:shd w:val="clear" w:color="auto" w:fill="auto"/>
        <w:spacing w:line="240" w:lineRule="auto"/>
        <w:jc w:val="center"/>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001135" cy="1647825"/>
            <wp:effectExtent l="0" t="0" r="18415" b="9525"/>
            <wp:docPr id="100007" name="图片 100007" descr="@@@0b4ff27c013d4f9d8a790dca33ebbf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0b4ff27c013d4f9d8a790dca33ebbfe6"/>
                    <pic:cNvPicPr>
                      <a:picLocks noChangeAspect="1"/>
                    </pic:cNvPicPr>
                  </pic:nvPicPr>
                  <pic:blipFill>
                    <a:blip r:embed="rId13"/>
                    <a:stretch>
                      <a:fillRect/>
                    </a:stretch>
                  </pic:blipFill>
                  <pic:spPr>
                    <a:xfrm>
                      <a:off x="0" y="0"/>
                      <a:ext cx="4001135" cy="1647825"/>
                    </a:xfrm>
                    <a:prstGeom prst="rect">
                      <a:avLst/>
                    </a:prstGeom>
                  </pic:spPr>
                </pic:pic>
              </a:graphicData>
            </a:graphic>
          </wp:inline>
        </w:drawing>
      </w:r>
    </w:p>
    <w:p w14:paraId="7F23CBA1">
      <w:pPr>
        <w:shd w:val="clear" w:color="auto" w:fill="auto"/>
        <w:spacing w:line="240" w:lineRule="auto"/>
        <w:ind w:firstLine="560"/>
        <w:jc w:val="right"/>
        <w:textAlignment w:val="center"/>
        <w:rPr>
          <w:sz w:val="21"/>
        </w:rPr>
      </w:pPr>
      <w:r>
        <w:rPr>
          <w:rFonts w:ascii="楷体" w:hAnsi="楷体" w:eastAsia="楷体" w:cs="楷体"/>
          <w:sz w:val="21"/>
        </w:rPr>
        <w:t>——据张芝联《世界历史地图集》</w:t>
      </w:r>
    </w:p>
    <w:p w14:paraId="4D191E1F">
      <w:pPr>
        <w:shd w:val="clear" w:color="auto" w:fill="auto"/>
        <w:spacing w:line="240" w:lineRule="auto"/>
        <w:jc w:val="left"/>
        <w:textAlignment w:val="center"/>
        <w:rPr>
          <w:sz w:val="21"/>
        </w:rPr>
      </w:pPr>
      <w:r>
        <w:rPr>
          <w:rFonts w:ascii="楷体" w:hAnsi="楷体" w:eastAsia="楷体" w:cs="楷体"/>
          <w:sz w:val="21"/>
        </w:rPr>
        <w:t>材料二</w:t>
      </w:r>
      <w:r>
        <w:rPr>
          <w:rFonts w:ascii="Times New Roman" w:hAnsi="Times New Roman" w:eastAsia="Times New Roman" w:cs="Times New Roman"/>
          <w:kern w:val="0"/>
          <w:sz w:val="24"/>
          <w:szCs w:val="24"/>
        </w:rPr>
        <w:t>  </w:t>
      </w:r>
      <w:r>
        <w:rPr>
          <w:rFonts w:ascii="楷体" w:hAnsi="楷体" w:eastAsia="楷体" w:cs="楷体"/>
          <w:sz w:val="21"/>
        </w:rPr>
        <w:t>缅甸自1948年1月独立起，即宣称奉行独立自主的中立主义外交政策。例如，1949年11月，在正式承认中华人民共和国的一周前，缅甸总理吴努在谈到缅甸外交事务上的独立路线和不与任何集团结盟时说道：“我们所处的环境要求我们奉行独立自主的路线和不与任何集团结盟。”1956年吴巴瑞总理在他上任后对议会的第一次演说中表示：“政府将继续追求一种独立的中立主义”，且“我们的中立主义是积极的、能增进两大对立集团相互了解和更好关系的具有生命力的中立主义”。1974年通过的《缅甸联邦社会主义共和国宪法》规定：“缅甸一贯奉行独立的外交政策，以世界和平和各国间友好相处为目标，遵守国与国之间的和平共处原则。”</w:t>
      </w:r>
    </w:p>
    <w:p w14:paraId="50F4B4E0">
      <w:pPr>
        <w:shd w:val="clear" w:color="auto" w:fill="auto"/>
        <w:spacing w:line="240" w:lineRule="auto"/>
        <w:ind w:firstLine="560"/>
        <w:jc w:val="right"/>
        <w:textAlignment w:val="center"/>
        <w:rPr>
          <w:sz w:val="21"/>
        </w:rPr>
      </w:pPr>
      <w:r>
        <w:rPr>
          <w:rFonts w:ascii="楷体" w:hAnsi="楷体" w:eastAsia="楷体" w:cs="楷体"/>
          <w:sz w:val="21"/>
        </w:rPr>
        <w:t>——摘编自刘务、李懋君《浅析冷战时期缅甸奉行中立主义外交政策的原因》</w:t>
      </w:r>
    </w:p>
    <w:p w14:paraId="372A8548">
      <w:pPr>
        <w:shd w:val="clear" w:color="auto" w:fill="auto"/>
        <w:spacing w:line="240" w:lineRule="auto"/>
        <w:jc w:val="left"/>
        <w:textAlignment w:val="center"/>
        <w:rPr>
          <w:sz w:val="21"/>
        </w:rPr>
      </w:pPr>
      <w:r>
        <w:rPr>
          <w:sz w:val="21"/>
        </w:rPr>
        <w:t>(1)根据材料一并结合所学知识，说明1914—1924年间欧洲出现的变化。</w:t>
      </w:r>
      <w:r>
        <w:rPr>
          <w:rFonts w:hint="eastAsia"/>
          <w:sz w:val="21"/>
          <w:lang w:eastAsia="zh-CN"/>
        </w:rPr>
        <w:t>（</w:t>
      </w:r>
      <w:r>
        <w:rPr>
          <w:rFonts w:hint="eastAsia"/>
          <w:sz w:val="21"/>
          <w:lang w:val="en-US" w:eastAsia="zh-CN"/>
        </w:rPr>
        <w:t>4分</w:t>
      </w:r>
      <w:r>
        <w:rPr>
          <w:rFonts w:hint="eastAsia"/>
          <w:sz w:val="21"/>
          <w:lang w:eastAsia="zh-CN"/>
        </w:rPr>
        <w:t>）</w:t>
      </w:r>
    </w:p>
    <w:p w14:paraId="7AFAAE0A">
      <w:pPr>
        <w:shd w:val="clear" w:color="auto" w:fill="auto"/>
        <w:spacing w:line="240" w:lineRule="auto"/>
        <w:jc w:val="left"/>
        <w:textAlignment w:val="center"/>
        <w:rPr>
          <w:sz w:val="21"/>
        </w:rPr>
      </w:pPr>
    </w:p>
    <w:p w14:paraId="11D74EDB">
      <w:pPr>
        <w:shd w:val="clear" w:color="auto" w:fill="auto"/>
        <w:spacing w:line="240" w:lineRule="auto"/>
        <w:jc w:val="left"/>
        <w:textAlignment w:val="center"/>
        <w:rPr>
          <w:sz w:val="21"/>
        </w:rPr>
      </w:pPr>
    </w:p>
    <w:p w14:paraId="18BA68E6">
      <w:pPr>
        <w:shd w:val="clear" w:color="auto" w:fill="auto"/>
        <w:spacing w:line="240" w:lineRule="auto"/>
        <w:jc w:val="left"/>
        <w:textAlignment w:val="center"/>
        <w:rPr>
          <w:sz w:val="21"/>
        </w:rPr>
      </w:pPr>
    </w:p>
    <w:p w14:paraId="6B0D3946">
      <w:pPr>
        <w:shd w:val="clear" w:color="auto" w:fill="auto"/>
        <w:spacing w:line="240" w:lineRule="auto"/>
        <w:jc w:val="left"/>
        <w:textAlignment w:val="center"/>
        <w:rPr>
          <w:rFonts w:hint="eastAsia" w:eastAsia="宋体"/>
          <w:sz w:val="21"/>
          <w:lang w:val="en-US" w:eastAsia="zh-CN"/>
        </w:rPr>
      </w:pPr>
      <w:r>
        <w:rPr>
          <w:sz w:val="21"/>
        </w:rPr>
        <w:t>(2)根据材料一、材料二并结合所学知识，概括缅甸中立主义外交政策提出的时代背景并分析影响国际关系变化的因素</w:t>
      </w:r>
      <w:r>
        <w:rPr>
          <w:rFonts w:hint="eastAsia"/>
          <w:sz w:val="21"/>
          <w:lang w:eastAsia="zh-CN"/>
        </w:rPr>
        <w:t>。（</w:t>
      </w:r>
      <w:r>
        <w:rPr>
          <w:rFonts w:hint="eastAsia"/>
          <w:sz w:val="21"/>
          <w:lang w:val="en-US" w:eastAsia="zh-CN"/>
        </w:rPr>
        <w:t>10分</w:t>
      </w:r>
      <w:r>
        <w:rPr>
          <w:rFonts w:hint="eastAsia"/>
          <w:sz w:val="21"/>
          <w:lang w:eastAsia="zh-CN"/>
        </w:rPr>
        <w:t>）</w:t>
      </w:r>
    </w:p>
    <w:p w14:paraId="344157D8">
      <w:pPr>
        <w:shd w:val="clear" w:color="auto" w:fill="auto"/>
        <w:spacing w:line="240" w:lineRule="auto"/>
        <w:jc w:val="left"/>
        <w:textAlignment w:val="center"/>
        <w:rPr>
          <w:sz w:val="21"/>
        </w:rPr>
      </w:pPr>
    </w:p>
    <w:p w14:paraId="170C8DD4">
      <w:pPr>
        <w:shd w:val="clear" w:color="auto" w:fill="auto"/>
        <w:spacing w:line="240" w:lineRule="auto"/>
        <w:jc w:val="left"/>
        <w:textAlignment w:val="center"/>
        <w:rPr>
          <w:sz w:val="21"/>
        </w:rPr>
      </w:pPr>
    </w:p>
    <w:p w14:paraId="0F478637">
      <w:pPr>
        <w:pStyle w:val="2"/>
        <w:rPr>
          <w:sz w:val="21"/>
        </w:rPr>
      </w:pPr>
    </w:p>
    <w:p w14:paraId="3F7E909A">
      <w:pPr>
        <w:pStyle w:val="2"/>
        <w:rPr>
          <w:sz w:val="21"/>
        </w:rPr>
      </w:pPr>
    </w:p>
    <w:p w14:paraId="17CB710A">
      <w:pPr>
        <w:pStyle w:val="2"/>
        <w:rPr>
          <w:sz w:val="21"/>
        </w:rPr>
      </w:pPr>
    </w:p>
    <w:p w14:paraId="4921F334">
      <w:pPr>
        <w:shd w:val="clear" w:color="auto" w:fill="auto"/>
        <w:spacing w:line="240" w:lineRule="auto"/>
        <w:jc w:val="left"/>
        <w:textAlignment w:val="center"/>
        <w:rPr>
          <w:sz w:val="21"/>
        </w:rPr>
      </w:pPr>
      <w:r>
        <w:rPr>
          <w:sz w:val="21"/>
        </w:rPr>
        <w:t>18．阅读材料，完成下列要求。</w:t>
      </w:r>
      <w:r>
        <w:rPr>
          <w:rFonts w:hint="eastAsia"/>
          <w:sz w:val="21"/>
          <w:lang w:eastAsia="zh-CN"/>
        </w:rPr>
        <w:t>（</w:t>
      </w:r>
      <w:r>
        <w:rPr>
          <w:rFonts w:hint="eastAsia"/>
          <w:sz w:val="21"/>
          <w:lang w:val="en-US" w:eastAsia="zh-CN"/>
        </w:rPr>
        <w:t>14分</w:t>
      </w:r>
      <w:r>
        <w:rPr>
          <w:rFonts w:hint="eastAsia"/>
          <w:sz w:val="21"/>
          <w:lang w:eastAsia="zh-CN"/>
        </w:rPr>
        <w:t>）</w:t>
      </w:r>
    </w:p>
    <w:p w14:paraId="01BB2130">
      <w:pPr>
        <w:shd w:val="clear" w:color="auto" w:fill="auto"/>
        <w:spacing w:line="240" w:lineRule="auto"/>
        <w:jc w:val="left"/>
        <w:textAlignment w:val="center"/>
        <w:rPr>
          <w:sz w:val="21"/>
        </w:rPr>
      </w:pPr>
      <w:r>
        <w:rPr>
          <w:rFonts w:ascii="楷体" w:hAnsi="楷体" w:eastAsia="楷体" w:cs="楷体"/>
          <w:sz w:val="21"/>
        </w:rPr>
        <w:t>材料一</w:t>
      </w:r>
      <w:r>
        <w:rPr>
          <w:rFonts w:hint="eastAsia" w:ascii="楷体" w:hAnsi="楷体" w:eastAsia="楷体" w:cs="楷体"/>
          <w:sz w:val="21"/>
          <w:lang w:val="en-US" w:eastAsia="zh-CN"/>
        </w:rPr>
        <w:t xml:space="preserve">  </w:t>
      </w:r>
      <w:r>
        <w:rPr>
          <w:rFonts w:ascii="楷体" w:hAnsi="楷体" w:eastAsia="楷体" w:cs="楷体"/>
          <w:sz w:val="21"/>
        </w:rPr>
        <w:t>史载，清廷以“天下一家”为治边核心理念，对蒙古推行盟旗制度；在西藏册封达赖、班禅，派遣驻藏大臣监督地方政务；于西南推行改土归流，废除土司世袭特权，委派流官治理；设理藩院专管边疆民族事务。同时，开通边疆与内地的商道，鼓励晋商、陕商赴蒙古、新疆贸易，推广中原农耕技术与手工业技艺。边疆各族首领定期朝觐，中原文化与边疆民族文化相互交融。清廷通过多元治理举措，推动边疆与内地的一体化进程，使中华民族共同体意识进一步深化。</w:t>
      </w:r>
    </w:p>
    <w:p w14:paraId="440B0857">
      <w:pPr>
        <w:shd w:val="clear" w:color="auto" w:fill="auto"/>
        <w:spacing w:line="240" w:lineRule="auto"/>
        <w:jc w:val="right"/>
        <w:textAlignment w:val="center"/>
        <w:rPr>
          <w:sz w:val="21"/>
        </w:rPr>
      </w:pPr>
      <w:r>
        <w:rPr>
          <w:rFonts w:ascii="楷体" w:hAnsi="楷体" w:eastAsia="楷体" w:cs="楷体"/>
          <w:sz w:val="21"/>
        </w:rPr>
        <w:t>——摘编自《清实录》《清史稿》</w:t>
      </w:r>
    </w:p>
    <w:p w14:paraId="52C96751">
      <w:pPr>
        <w:shd w:val="clear" w:color="auto" w:fill="auto"/>
        <w:spacing w:line="240" w:lineRule="auto"/>
        <w:jc w:val="left"/>
        <w:textAlignment w:val="center"/>
        <w:rPr>
          <w:sz w:val="21"/>
        </w:rPr>
      </w:pPr>
      <w:r>
        <w:rPr>
          <w:rFonts w:ascii="楷体" w:hAnsi="楷体" w:eastAsia="楷体" w:cs="楷体"/>
          <w:sz w:val="21"/>
        </w:rPr>
        <w:t>材料二</w:t>
      </w:r>
      <w:r>
        <w:rPr>
          <w:rFonts w:hint="eastAsia" w:ascii="楷体" w:hAnsi="楷体" w:eastAsia="楷体" w:cs="楷体"/>
          <w:sz w:val="21"/>
          <w:lang w:val="en-US" w:eastAsia="zh-CN"/>
        </w:rPr>
        <w:t xml:space="preserve">  </w:t>
      </w:r>
      <w:r>
        <w:rPr>
          <w:rFonts w:ascii="楷体" w:hAnsi="楷体" w:eastAsia="楷体" w:cs="楷体"/>
          <w:sz w:val="21"/>
        </w:rPr>
        <w:t>新中国成立后，确立民族区域自治制度为基本政治制度，保障各少数民族当家作主权利。新时代以来，国家深入推进民族团结进步创建工作，实施兴边富民行动，继续推进对口支援，助力西藏、新疆、内蒙古等民族地区脱贫摘帽。建成川藏铁路、墨脱公路等重大工程，推动民族地区经济社会跨越式发展。同时，开展“中华民族一家亲”等文化交流活动，保护传承各民族优秀传统文化，促进各民族交往交流交融。这些实践既保障了各民族平等权利，又强化了“中华民族一家亲”的共识，推动铸牢中华民族共同体意识进入新阶段。</w:t>
      </w:r>
    </w:p>
    <w:p w14:paraId="6E44A527">
      <w:pPr>
        <w:shd w:val="clear" w:color="auto" w:fill="auto"/>
        <w:spacing w:line="240" w:lineRule="auto"/>
        <w:jc w:val="right"/>
        <w:textAlignment w:val="center"/>
        <w:rPr>
          <w:sz w:val="21"/>
        </w:rPr>
      </w:pPr>
      <w:r>
        <w:rPr>
          <w:rFonts w:ascii="楷体" w:hAnsi="楷体" w:eastAsia="楷体" w:cs="楷体"/>
          <w:sz w:val="21"/>
        </w:rPr>
        <w:t>——摘编自国务院新闻办公室《新时代的中国民族工作》白皮书（2023年版）等</w:t>
      </w:r>
    </w:p>
    <w:p w14:paraId="7CFC9CB7">
      <w:pPr>
        <w:shd w:val="clear" w:color="auto" w:fill="auto"/>
        <w:spacing w:line="240" w:lineRule="auto"/>
        <w:jc w:val="left"/>
        <w:textAlignment w:val="center"/>
        <w:rPr>
          <w:rFonts w:hint="eastAsia" w:eastAsia="宋体"/>
          <w:sz w:val="21"/>
          <w:lang w:eastAsia="zh-CN"/>
        </w:rPr>
      </w:pPr>
      <w:r>
        <w:rPr>
          <w:sz w:val="21"/>
        </w:rPr>
        <w:t>(1)材料一提及“清廷通过多元治理举措，推动边疆与内地的一体化进程”，根据材料一并结合所学知识，分析这一进程得以顺利推进的历史条件。</w:t>
      </w:r>
      <w:r>
        <w:rPr>
          <w:rFonts w:hint="eastAsia"/>
          <w:sz w:val="21"/>
          <w:lang w:eastAsia="zh-CN"/>
        </w:rPr>
        <w:t>（</w:t>
      </w:r>
      <w:r>
        <w:rPr>
          <w:rFonts w:hint="eastAsia"/>
          <w:sz w:val="21"/>
          <w:lang w:val="en-US" w:eastAsia="zh-CN"/>
        </w:rPr>
        <w:t>4分</w:t>
      </w:r>
      <w:r>
        <w:rPr>
          <w:rFonts w:hint="eastAsia"/>
          <w:sz w:val="21"/>
          <w:lang w:eastAsia="zh-CN"/>
        </w:rPr>
        <w:t>）</w:t>
      </w:r>
    </w:p>
    <w:p w14:paraId="143B020E">
      <w:pPr>
        <w:shd w:val="clear" w:color="auto" w:fill="auto"/>
        <w:spacing w:line="240" w:lineRule="auto"/>
        <w:jc w:val="left"/>
        <w:textAlignment w:val="center"/>
        <w:rPr>
          <w:sz w:val="21"/>
        </w:rPr>
      </w:pPr>
    </w:p>
    <w:p w14:paraId="0400CB79">
      <w:pPr>
        <w:pStyle w:val="2"/>
        <w:spacing w:line="240" w:lineRule="auto"/>
        <w:rPr>
          <w:sz w:val="21"/>
        </w:rPr>
      </w:pPr>
    </w:p>
    <w:p w14:paraId="189B6269">
      <w:pPr>
        <w:pStyle w:val="2"/>
        <w:spacing w:line="240" w:lineRule="auto"/>
        <w:rPr>
          <w:sz w:val="21"/>
        </w:rPr>
      </w:pPr>
    </w:p>
    <w:p w14:paraId="7AFB6E26">
      <w:pPr>
        <w:pStyle w:val="2"/>
        <w:spacing w:line="240" w:lineRule="auto"/>
        <w:rPr>
          <w:sz w:val="21"/>
        </w:rPr>
      </w:pPr>
    </w:p>
    <w:p w14:paraId="32590EA1">
      <w:pPr>
        <w:shd w:val="clear" w:color="auto" w:fill="auto"/>
        <w:spacing w:line="240" w:lineRule="auto"/>
        <w:jc w:val="left"/>
        <w:textAlignment w:val="center"/>
        <w:rPr>
          <w:rFonts w:hint="eastAsia" w:eastAsia="宋体"/>
          <w:sz w:val="21"/>
          <w:lang w:eastAsia="zh-CN"/>
        </w:rPr>
      </w:pPr>
      <w:r>
        <w:rPr>
          <w:sz w:val="21"/>
        </w:rPr>
        <w:t>(2)根据材料二并结合所学知识，概括新中国成立以来我国推动民族地区发展采取的主要措施，并分析这些措施对铸牢中华民族共同体意识的意义。</w:t>
      </w:r>
      <w:r>
        <w:rPr>
          <w:rFonts w:hint="eastAsia"/>
          <w:sz w:val="21"/>
          <w:lang w:eastAsia="zh-CN"/>
        </w:rPr>
        <w:t>（</w:t>
      </w:r>
      <w:r>
        <w:rPr>
          <w:rFonts w:hint="eastAsia"/>
          <w:sz w:val="21"/>
          <w:lang w:val="en-US" w:eastAsia="zh-CN"/>
        </w:rPr>
        <w:t>10分</w:t>
      </w:r>
      <w:r>
        <w:rPr>
          <w:rFonts w:hint="eastAsia"/>
          <w:sz w:val="21"/>
          <w:lang w:eastAsia="zh-CN"/>
        </w:rPr>
        <w:t>）</w:t>
      </w:r>
    </w:p>
    <w:p w14:paraId="2A1FC6CE">
      <w:pPr>
        <w:shd w:val="clear" w:color="auto" w:fill="auto"/>
        <w:spacing w:line="240" w:lineRule="auto"/>
        <w:jc w:val="left"/>
        <w:textAlignment w:val="center"/>
        <w:rPr>
          <w:sz w:val="21"/>
        </w:rPr>
      </w:pPr>
    </w:p>
    <w:p w14:paraId="7813C0B2">
      <w:pPr>
        <w:pStyle w:val="2"/>
        <w:spacing w:line="240" w:lineRule="auto"/>
        <w:rPr>
          <w:sz w:val="21"/>
        </w:rPr>
      </w:pPr>
    </w:p>
    <w:p w14:paraId="51F1C9FD">
      <w:pPr>
        <w:pStyle w:val="2"/>
        <w:spacing w:line="240" w:lineRule="auto"/>
        <w:rPr>
          <w:sz w:val="21"/>
        </w:rPr>
      </w:pPr>
    </w:p>
    <w:p w14:paraId="6DDD292C">
      <w:pPr>
        <w:pStyle w:val="2"/>
        <w:spacing w:line="240" w:lineRule="auto"/>
        <w:rPr>
          <w:sz w:val="21"/>
        </w:rPr>
      </w:pPr>
    </w:p>
    <w:p w14:paraId="227F8299">
      <w:pPr>
        <w:shd w:val="clear" w:color="auto" w:fill="auto"/>
        <w:spacing w:line="240" w:lineRule="auto"/>
        <w:jc w:val="left"/>
        <w:textAlignment w:val="center"/>
        <w:rPr>
          <w:sz w:val="21"/>
        </w:rPr>
      </w:pPr>
    </w:p>
    <w:p w14:paraId="5A44F794">
      <w:pPr>
        <w:shd w:val="clear" w:color="auto" w:fill="auto"/>
        <w:spacing w:line="240" w:lineRule="auto"/>
        <w:jc w:val="left"/>
        <w:textAlignment w:val="center"/>
        <w:rPr>
          <w:sz w:val="21"/>
        </w:rPr>
      </w:pPr>
    </w:p>
    <w:p w14:paraId="19B6E625">
      <w:pPr>
        <w:shd w:val="clear" w:color="auto" w:fill="auto"/>
        <w:spacing w:line="240" w:lineRule="auto"/>
        <w:jc w:val="left"/>
        <w:textAlignment w:val="center"/>
        <w:rPr>
          <w:sz w:val="21"/>
        </w:rPr>
      </w:pPr>
      <w:r>
        <w:rPr>
          <w:sz w:val="21"/>
        </w:rPr>
        <w:t>19．阅读材料，完成下列要求。</w:t>
      </w:r>
      <w:r>
        <w:rPr>
          <w:rFonts w:hint="eastAsia"/>
          <w:sz w:val="21"/>
          <w:lang w:eastAsia="zh-CN"/>
        </w:rPr>
        <w:t>（</w:t>
      </w:r>
      <w:r>
        <w:rPr>
          <w:rFonts w:hint="eastAsia"/>
          <w:sz w:val="21"/>
          <w:lang w:val="en-US" w:eastAsia="zh-CN"/>
        </w:rPr>
        <w:t>13分</w:t>
      </w:r>
      <w:r>
        <w:rPr>
          <w:rFonts w:hint="eastAsia"/>
          <w:sz w:val="21"/>
          <w:lang w:eastAsia="zh-CN"/>
        </w:rPr>
        <w:t>）</w:t>
      </w:r>
    </w:p>
    <w:p w14:paraId="78C422BA">
      <w:pPr>
        <w:shd w:val="clear" w:color="auto" w:fill="auto"/>
        <w:spacing w:line="240" w:lineRule="auto"/>
        <w:ind w:firstLine="600"/>
        <w:jc w:val="left"/>
        <w:textAlignment w:val="center"/>
        <w:rPr>
          <w:sz w:val="21"/>
        </w:rPr>
      </w:pPr>
      <w:r>
        <w:rPr>
          <w:rFonts w:ascii="楷体" w:hAnsi="楷体" w:eastAsia="楷体" w:cs="楷体"/>
          <w:sz w:val="21"/>
        </w:rPr>
        <w:t>材料</w:t>
      </w:r>
      <w:r>
        <w:rPr>
          <w:rFonts w:ascii="Times New Roman" w:hAnsi="Times New Roman" w:eastAsia="Times New Roman" w:cs="Times New Roman"/>
          <w:kern w:val="0"/>
          <w:sz w:val="24"/>
          <w:szCs w:val="24"/>
        </w:rPr>
        <w:t>  </w:t>
      </w:r>
      <w:r>
        <w:rPr>
          <w:rFonts w:ascii="楷体" w:hAnsi="楷体" w:eastAsia="楷体" w:cs="楷体"/>
          <w:sz w:val="21"/>
        </w:rPr>
        <w:t>自维也纳体系至冷战结束前，全球治理主要是由大国所主导。“俱乐部”式的大国治理体现出鲜明的国家中心色彩。国家中心的治理模式始终是主导模式。然而，国家中心模式也呈现出阶段性特征。例如在维也纳体系时期，国家中心体现为大国协调；在冷战时期，国家中心则体现为国家对国际组织和国际机制的彻底掌控。冷战结束后，国家间的治理模式不断变化，既有传统的大国协调色彩，也体现出时代的烙印，具体表现为如下三个特征：第一，霸权治理的结构衰落，多极治理结构凸显；第二，网络化治理出现；第三，政府间组织角色的转变。</w:t>
      </w:r>
    </w:p>
    <w:p w14:paraId="579D57C7">
      <w:pPr>
        <w:shd w:val="clear" w:color="auto" w:fill="auto"/>
        <w:spacing w:line="240" w:lineRule="auto"/>
        <w:ind w:firstLine="600"/>
        <w:jc w:val="right"/>
        <w:textAlignment w:val="center"/>
        <w:rPr>
          <w:sz w:val="21"/>
        </w:rPr>
      </w:pPr>
      <w:r>
        <w:rPr>
          <w:rFonts w:ascii="楷体" w:hAnsi="楷体" w:eastAsia="楷体" w:cs="楷体"/>
          <w:sz w:val="21"/>
        </w:rPr>
        <w:t>——选编自董柞壮《国际体系转型与全球治理变革的互动机制》</w:t>
      </w:r>
    </w:p>
    <w:p w14:paraId="0A679A3A">
      <w:pPr>
        <w:shd w:val="clear" w:color="auto" w:fill="auto"/>
        <w:spacing w:line="240" w:lineRule="auto"/>
        <w:jc w:val="left"/>
        <w:textAlignment w:val="center"/>
        <w:rPr>
          <w:sz w:val="21"/>
        </w:rPr>
      </w:pPr>
      <w:r>
        <w:rPr>
          <w:sz w:val="21"/>
        </w:rPr>
        <w:t>根据材料并结合所学知识，围绕“国际社会治理模式”拟定一个论题，并予以阐述。（要求：论题明确，持论有据，论证充分，表达清晰）</w:t>
      </w:r>
    </w:p>
    <w:p w14:paraId="5799198E">
      <w:pPr>
        <w:shd w:val="clear" w:color="auto" w:fill="auto"/>
        <w:spacing w:line="360" w:lineRule="auto"/>
        <w:jc w:val="left"/>
        <w:textAlignment w:val="center"/>
        <w:rPr>
          <w:sz w:val="21"/>
        </w:rPr>
        <w:sectPr>
          <w:footerReference r:id="rId3" w:type="default"/>
          <w:footerReference r:id="rId4" w:type="even"/>
          <w:pgSz w:w="11907" w:h="16839"/>
          <w:pgMar w:top="1134" w:right="1080" w:bottom="1134" w:left="1080" w:header="851" w:footer="425" w:gutter="0"/>
          <w:cols w:space="425" w:num="1" w:sep="1"/>
          <w:docGrid w:type="lines" w:linePitch="312" w:charSpace="0"/>
        </w:sectPr>
      </w:pPr>
    </w:p>
    <w:p w14:paraId="043DF9FF">
      <w:pPr>
        <w:spacing w:line="240" w:lineRule="auto"/>
        <w:jc w:val="center"/>
        <w:rPr>
          <w:rFonts w:hint="eastAsia" w:ascii="楷体" w:hAnsi="楷体" w:eastAsia="楷体" w:cs="楷体"/>
          <w:b/>
          <w:bCs/>
          <w:sz w:val="36"/>
          <w:szCs w:val="36"/>
          <w:lang w:val="en-US" w:eastAsia="zh-CN"/>
        </w:rPr>
      </w:pPr>
      <w:r>
        <w:rPr>
          <w:rFonts w:hint="eastAsia" w:ascii="楷体" w:hAnsi="楷体" w:eastAsia="楷体" w:cs="楷体"/>
          <w:b/>
          <w:bCs/>
          <w:sz w:val="36"/>
          <w:szCs w:val="36"/>
          <w:lang w:val="en-US" w:eastAsia="zh-CN"/>
        </w:rPr>
        <w:t>安徽省皖江名校联盟2026届高三上学期期末联考</w:t>
      </w:r>
    </w:p>
    <w:p w14:paraId="4713A0E7">
      <w:pPr>
        <w:spacing w:line="240" w:lineRule="auto"/>
        <w:jc w:val="center"/>
        <w:textAlignment w:val="center"/>
        <w:rPr>
          <w:rFonts w:hint="eastAsia" w:ascii="楷体" w:hAnsi="楷体" w:eastAsia="楷体" w:cs="楷体"/>
          <w:b/>
          <w:bCs/>
          <w:sz w:val="36"/>
          <w:szCs w:val="36"/>
          <w:lang w:val="en-US" w:eastAsia="zh-CN"/>
        </w:rPr>
      </w:pPr>
      <w:r>
        <w:rPr>
          <w:rFonts w:hint="eastAsia" w:ascii="楷体" w:hAnsi="楷体" w:eastAsia="楷体" w:cs="楷体"/>
          <w:b/>
          <w:bCs/>
          <w:sz w:val="36"/>
          <w:szCs w:val="36"/>
          <w:lang w:val="en-US" w:eastAsia="zh-CN"/>
        </w:rPr>
        <w:t>历史试题</w:t>
      </w:r>
      <w:r>
        <w:rPr>
          <w:rFonts w:hint="eastAsia" w:ascii="楷体" w:hAnsi="楷体" w:eastAsia="楷体" w:cs="楷体"/>
          <w:b/>
          <w:i w:val="0"/>
          <w:color w:val="000000"/>
          <w:sz w:val="36"/>
          <w:szCs w:val="36"/>
        </w:rPr>
        <w:t>参考答案</w:t>
      </w:r>
    </w:p>
    <w:p w14:paraId="09B8439D">
      <w:pPr>
        <w:pStyle w:val="9"/>
        <w:keepNext w:val="0"/>
        <w:keepLines w:val="0"/>
        <w:pageBreakBefore w:val="0"/>
        <w:widowControl w:val="0"/>
        <w:kinsoku/>
        <w:wordWrap/>
        <w:overflowPunct/>
        <w:topLinePunct w:val="0"/>
        <w:autoSpaceDE/>
        <w:autoSpaceDN/>
        <w:bidi w:val="0"/>
        <w:adjustRightInd/>
        <w:snapToGrid/>
        <w:spacing w:line="240" w:lineRule="auto"/>
        <w:jc w:val="both"/>
        <w:rPr>
          <w:rFonts w:ascii="宋体" w:hAnsi="宋体" w:cs="黑体"/>
          <w:b/>
          <w:color w:val="000000"/>
          <w:kern w:val="2"/>
          <w:sz w:val="21"/>
          <w:szCs w:val="21"/>
        </w:rPr>
      </w:pPr>
      <w:r>
        <w:rPr>
          <w:rFonts w:hint="eastAsia" w:ascii="宋体" w:hAnsi="宋体" w:cs="黑体"/>
          <w:b/>
          <w:bCs/>
          <w:color w:val="000000"/>
          <w:kern w:val="2"/>
          <w:sz w:val="21"/>
          <w:szCs w:val="21"/>
        </w:rPr>
        <w:t>一、选择题（本大题</w:t>
      </w:r>
      <w:r>
        <w:rPr>
          <w:rFonts w:hint="eastAsia" w:ascii="宋体" w:hAnsi="宋体" w:cs="黑体"/>
          <w:b/>
          <w:color w:val="000000"/>
          <w:kern w:val="2"/>
          <w:sz w:val="21"/>
          <w:szCs w:val="21"/>
        </w:rPr>
        <w:t>共1</w:t>
      </w:r>
      <w:r>
        <w:rPr>
          <w:rFonts w:hint="eastAsia" w:ascii="宋体" w:hAnsi="宋体" w:cs="黑体"/>
          <w:b/>
          <w:color w:val="000000"/>
          <w:kern w:val="2"/>
          <w:sz w:val="21"/>
          <w:szCs w:val="21"/>
          <w:lang w:val="en-US" w:eastAsia="zh-CN"/>
        </w:rPr>
        <w:t>5</w:t>
      </w:r>
      <w:r>
        <w:rPr>
          <w:rFonts w:hint="eastAsia" w:ascii="宋体" w:hAnsi="宋体" w:cs="黑体"/>
          <w:b/>
          <w:color w:val="000000"/>
          <w:kern w:val="2"/>
          <w:sz w:val="21"/>
          <w:szCs w:val="21"/>
        </w:rPr>
        <w:t>小题，每小题3分，共计4</w:t>
      </w:r>
      <w:r>
        <w:rPr>
          <w:rFonts w:hint="eastAsia" w:ascii="宋体" w:hAnsi="宋体" w:cs="黑体"/>
          <w:b/>
          <w:color w:val="000000"/>
          <w:kern w:val="2"/>
          <w:sz w:val="21"/>
          <w:szCs w:val="21"/>
          <w:lang w:val="en-US" w:eastAsia="zh-CN"/>
        </w:rPr>
        <w:t>5</w:t>
      </w:r>
      <w:r>
        <w:rPr>
          <w:rFonts w:hint="eastAsia" w:ascii="宋体" w:hAnsi="宋体" w:cs="黑体"/>
          <w:b/>
          <w:color w:val="000000"/>
          <w:kern w:val="2"/>
          <w:sz w:val="21"/>
          <w:szCs w:val="21"/>
        </w:rPr>
        <w:t>分。在每小题列出的四个选项中，选出最符合题目要求的一项。</w:t>
      </w:r>
      <w:r>
        <w:rPr>
          <w:rFonts w:hint="eastAsia" w:ascii="宋体" w:hAnsi="宋体" w:cs="黑体"/>
          <w:b/>
          <w:bCs/>
          <w:color w:val="000000"/>
          <w:kern w:val="2"/>
          <w:sz w:val="21"/>
          <w:szCs w:val="21"/>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6721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pct"/>
            <w:tcMar>
              <w:top w:w="0" w:type="dxa"/>
              <w:bottom w:w="0" w:type="dxa"/>
            </w:tcMar>
            <w:vAlign w:val="center"/>
          </w:tcPr>
          <w:p w14:paraId="27EE1B7B">
            <w:pPr>
              <w:spacing w:line="240" w:lineRule="auto"/>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1A8E99E7">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14:paraId="23E80E5F">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14:paraId="2CDF92FB">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14:paraId="29AC8FE2">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14:paraId="1A573DD2">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14:paraId="217E244E">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14:paraId="0BEAE827">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14:paraId="7C76793D">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14:paraId="6E12B47B">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14:paraId="3449BB82">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2C25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03BC132">
            <w:pPr>
              <w:spacing w:line="240" w:lineRule="auto"/>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173660F4">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2CF45AD3">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6AB20794">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79C25235">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2D671DD5">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3A60D225">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6CB8C01E">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4843D56B">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3C2024BA">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706BACD7">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r>
      <w:tr w14:paraId="4768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0BEE944A">
            <w:pPr>
              <w:spacing w:line="240" w:lineRule="auto"/>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306EBCE9">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14:paraId="38A4549A">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14:paraId="5B7B403C">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vAlign w:val="center"/>
          </w:tcPr>
          <w:p w14:paraId="7FA9E6ED">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vAlign w:val="center"/>
          </w:tcPr>
          <w:p w14:paraId="02DA09DF">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vAlign w:val="center"/>
          </w:tcPr>
          <w:p w14:paraId="368C5F01">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41E04C76">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686E8AA0">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C015C89">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5A148F04">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5A3A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94F4B3C">
            <w:pPr>
              <w:spacing w:line="240" w:lineRule="auto"/>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4F0A811C">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5CC6B7CF">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4F54D346">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3CB7F3C8">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19177A6B">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1D196978">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63B5446E">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0FCE1B72">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64832650">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6582DA90">
            <w:pPr>
              <w:spacing w:line="240" w:lineRule="auto"/>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69A29489">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D【详解】根据题干“发现多座土石混筑的台基建筑，总面积达6万平方米，台基上分布着女神庙、祭祀坑等礼制建筑遗存”可知，6万平方米的大型礼制建筑群（女神庙、祭祀坑等）需要调动大量人力、物力进行规划、营建和维护，且形成系统化的祭祀礼仪体系，反映出当时社会已具备协调资源、组织集体活动的管理能力，D项正确；题干仅提及礼制建筑和祭祀体系，未涉及王权统治的相关信息，排除A项；宗法血缘社会以血缘关系为纽带，核心是家族世袭与等级秩序，题干中“敬天、礼地、法祖”的祭祀体系虽涉及祖先崇拜，但未明确体现血缘宗法的组织结构，排除B项；题干仅描述牛河梁地区自身的礼制建筑和祭祀体系，未提及与周边文明的互动或统合关系，排除C项。故选D项。</w:t>
      </w:r>
    </w:p>
    <w:p w14:paraId="6BB3FFF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C【详解】据材料及所学可知，《史记》强调乐有伦理作用，阮籍则融入道家思想，同时仍坚守儒家“男女、君臣”的等级伦理，是典型的儒道思想融合，C项正确；礼乐制度在春秋战国便走向崩溃，排除A项；阮籍明确提出乐的作用是让“君臣不犯其位”，直接体现对君臣等级秩序的维护，而非冲击，排除B项；阮籍并未否定乐的伦理功能，反而通过乐来维系儒家的等级秩序，只是在解读乐的本源时加入了道家思想，伦理功能依然保留，排除D项。故选C项。</w:t>
      </w:r>
    </w:p>
    <w:p w14:paraId="2866672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3．A【详解】根据材料并结合所学：在唐代课户、课口锐减意味着财政收入大幅缩水，而安史之乱中军费、赈灾等支出激增，政府陷入严重财政危机，亟需改革（如后来的两税法）缓解困境，A项正确；材料仅呈现课户数量变化，未提及赋役轻重或课户生活状况，无法得出赋役征发沉重课户生活窘迫，排除B项；户籍紊乱、人口核查困难是数据锐减的原因之一，但材料核心是数据变化反映的结果（财政危机），而非原因本身，排除C项；材料未涉及吏治腐败的具体表现（如贪腐、行政效率低下），无法支撑该观点，排除D项。故选A项。</w:t>
      </w:r>
    </w:p>
    <w:p w14:paraId="584CC21D">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4．A【详解】根据材料可知，宋代路级划分了三个机构的核心职权（财政、司法监察、军政），无职权重叠或模糊地带；同时规定安抚司需与另外两司“通议”，形成明确的权力制约规则，这种“分工明确、程序约束”的状态，正是“权力运作比较规范”的体现，A项正确；材料中转运使仅掌财权，提刑司掌司法监察权，安抚司掌军政权，三者职权平行且相互制约（如安抚司需与另外两司通议），无任何证据显示转运司成为“行政中心”，排除B项；“三权分立”为近代西方政治概念，与宋代制度本质不符，宋代路级机构的“分权”，是中央为控制地方而设计的“内部牵制”——三个机构均直属中央，权力源于中央授权，并非“立法、行政、司法相互独立制衡”的近代三权分立，排除C项；材料仅围绕“路级”机构展开，未涉及“州”“县”两级的设置、职能或层级变化；事实上，宋代始终以“州县”为地方基层正式行政层级，“路”是中央派出的高层协调行政机构，并未取代或改变州县两级，排除D项。故选A项。</w:t>
      </w:r>
    </w:p>
    <w:p w14:paraId="4D4C2B0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5．C【详解】据材料可知，陆王心学主张“心即理”“致良知”，核心是强调人的主观能动性与个体意识，突出自我的价值与自主判断。材料中绘画言论反复强调“我自用我法”“处处有我”，正是将心学中“重视自我主观意识”的理念延伸到绘画创作中，体现了心学思想对文艺领域的影响，C项正确；科举制度僵化主要影响的是士人阶层的仕途与思想束缚，与绘画领域强调“自我创作”的言论无直接关联性，排除A项；封建经济发展是社会物质基础，但材料中言论聚焦的是创作理念中的“自我意识”，属于思想文化层面的倾向，并非经济发展直接推动的结果，排除B项；明清时期西学东渐主要集中在科技、宗教等领域，并未对绘画创作中“自我理念”的形成产生显著影响，排除D项。故选C项。</w:t>
      </w:r>
    </w:p>
    <w:p w14:paraId="03742CD8">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6．C【详解】据本题主题干的设问词，可知这是本质题。据本题时间信息可知准确时空是：近代中国。据材料可知，晚清官僚将本应用于产业发展的机械模型当作把玩物、贿赂品，忽视大轮船的制造，这种官僚体制下的腐败、功利倾向，直接导致新式造船业无法健康发展，体现了旧官僚体制对产业振兴的阻碍，C项正确；材料仅聚焦广东新式造船业的发展困境，并未体现“经济结构变动”，排除A项；材料核心是新式造船业的发展受阻，且机械模型被异化为把玩、贿赂之物，并非体现工业建设的“成就”，排除B项；材料中的广东制造机器局属于官办工业，并非民族资本主义，排除D项。故选C项。</w:t>
      </w:r>
    </w:p>
    <w:p w14:paraId="37051814">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7．C【详解】在马星驰《新闻报》发表的漫画《这把交椅能坐几人》中，身着各式服装的人员，在来自四方的手臂推动下，全部挤在一张座椅上。这些人中，有头戴皇冠的皇帝，有身着军服的军阀，有身着晚清服饰的官僚，还有头戴瓜皮帽的士绅，将各路人士欲独揽大权的政治乱象直白地勾勒出来。1917年处于民国初期，“这把交椅”象征民主共和的总统职位，漫画暗示该职位争夺激烈（如袁世凯复辟、军阀觊觎），这揭示出民主共和制度的实践困境,C项正确；图中虽然有军阀，但军阀割据混战只能体现一部分表象，本题设问中要求从表象看到实质，排除A项；帝国主义“分而治之”主要是指通过扶持不同代理人来分裂中国，但漫画中并没有直接体现帝国主义的操纵或“分而治之”的策略，更多是国内权力争夺，排除B项；革命派和立宪派的分歧主要在政治主张（革命vs君主立宪/改良），但1917年时，立宪派影响力已不如军阀，且漫画中没有体现这两个派别的对立，排除D项。故选C项。</w:t>
      </w:r>
    </w:p>
    <w:p w14:paraId="54D2F133">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8．B【详解】根据材料信息及所学知识可知，1931-1932年中央苏区处于国民党军事“围剿”和经济封锁的背景下，商业税按资本大小、盈利多少征收累进税且资本200元以下免税，既保护了小商贩的利益，又能增加财政收入；对苏区与白区间贸易按物资需求调节关税，可保障苏区急需物资的输入、限制非必要物资流通，这些措施均服务于巩固苏维埃政权的大局，B项正确；材料仅体现商业税的征收规则，无法说明政府因此掌握了市场主动权，排除A项；征收商业税和关税有利于缓解国民党经济封锁的影响，但单凭表中税制难以直接冲破国民党严密封锁，需综合生产、运输等措施，排除C项；改善商业经营环境只是这些税收政策的客观作用之一，其核心目的是巩固苏维埃政权，而非侧重改善商业经营环境，排除D项。故选B项。</w:t>
      </w:r>
    </w:p>
    <w:p w14:paraId="3B22948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9．D【详解】根据材料可知，题干中强调在处理土地纠纷时“不是站在农民或地主的某一方面”，并要求遵循“双方自愿”的契约原则。这表明当时党的政策并非支持农民强制没收地主土地，而是兼顾双方利益，符合抗日战争时期（1937~1945年）中国共产党实行的“减租减息”土地政策。该政策是在民族矛盾（中日矛盾）上升为主要矛盾的背景下制定的，意在团结地主、富农等一切可以团结的力量共同抗日，巩固和扩大抗日民族统一战线，D项正确；该时期（抗战时期）民族矛盾是主要矛盾，阶级矛盾已降为次要矛盾，排除A项；“彻底废除地主土地所有制”是土地革命时期和解放战争后期的目标，与材料中承认并规范土地契约的精神不符，排除B项；“耕者有其田”强调了农民阶级的利益，必然冲击地主阶级，与材料主旨不符，排除C项。故选D项。</w:t>
      </w:r>
    </w:p>
    <w:p w14:paraId="7C24F1E1">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10．C【详解】根据材料及所学可知，1985年这一政策允许企业在完成国家计划后的超产、自销部分，在国家定价20%的幅度内自行定价，这体现了价格双轨制的改革特征，即同一商品同时存在国家计划定价和市场调节定价两种机制，是计划经济向市场经济过渡时期的典型做法，C项正确；1992年中共十四大明确提出建立社会主义市场经济体制的目标，到21世纪初基本确立，排除A项；1985年计划经济体制仍占主导地位，这一政策只是局部突破，并未从根本上改变计划经济体制，排除B项；现代企业制度的提出与推行是在1993年中共十四届三中全会之后，1985年尚未进入这一阶段，排除D项。故选C项。</w:t>
      </w:r>
    </w:p>
    <w:p w14:paraId="42235C1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11．B【详解】据材料可知，瑙克拉提斯遗址同时出现腓尼基红酒器和埃及圣甲虫，两种不同文明的器物共存，最合理的解释是商贸活动促进了不同文化间的交流传播，B项正确；阿尔米纳出土希腊陶器，仅能说明希腊陶器传播到该地区，无法证明希腊是地中海地区唯一的陶器生产中心，排除A项；优卑亚陶器广泛分布，只能说明其传播范围广，无法直接推断“制陶业领先”，制陶业水平需从工艺、技术等角度佐证，排除C项；出土希腊商人定居遗迹，仅能证明希腊商人在该地区活动，无法得出“掌控地中海东部所有贸易”的结论，排除D项。故选B项。</w:t>
      </w:r>
    </w:p>
    <w:p w14:paraId="4252306C">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12．B【详解】根据材料可知，阿拔斯王朝降低田赋、规范税收的政策提高了农民生产积极性，而广泛引入并普及水稻、棉花、甘蔗等新作物，则极大地丰富了农产品的种类与产量，特别是增加了可用于市场交易的经济作物。这为国内手工业提供了充足原料，也为国内外贸易提供了丰富的商品，从而为帝国商业的繁荣奠定了坚实的物质基础，B项正确；降低赋税和规范征收确实可视为“制度创新”，并确实推动了农业发展。但这只是对材料前半部分的直接重述或概括，不符合材料主旨，排除A项；材料只提及“引入新品种”，这属于“作物引进”或“种植结构变化”，并未涉及耕作工具、灌溉技术、种植方法等生产技术本身的“显著提高”，排除C项；仅靠单一税收政策难以“有效调节”社会阶级矛盾，且材料未提供任何关于矛盾缓和的社会证据，排除D项。故选B项。</w:t>
      </w:r>
    </w:p>
    <w:p w14:paraId="4573520A">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13．A【详解】根据材料并结合所学知识可知，19世纪上半叶，英国率先完成工业革命，英国的生产力大幅提高，生产出大量的工业产品，需要更广阔的市场和原料产地。《谷物法》的存在限制了外国低价谷物的进口，一方面导致国内粮食价格居高不下，增加了工业劳动力的成本；另一方面也引发了其他国家的贸易报复，不利于英国工业产品的出口。工业资产阶级迫切要求废除《谷物法》，实行自由贸易政策。皮尔首相废除《谷物法》顺应了工业资产阶级的要求，漫画中两党政客在皮尔的带领下“从贸易保护区跨入自由贸易区”，这折射出工业资产阶级政治影响力增强，推动国家政策的转向，A项正确。材料主要强调的是英国国内关于废除《谷物法》的斗争，是经济政策的调整，并未涉及国际关系的相关内容，排除B项；资本输出是指资本主义国家的政府或资本家为了获取高额利润或利息，在国外进行的投资和贷款。19世纪上半叶，英国主要是通过商品输出的方式来发展对外贸易，而非资本输出，排除C项；英国两党（托利党、辉格党）在谷物关税问题上最初存在分歧（托利党代表土地贵族，辉格党倾向工业资产阶级），最终支持废除《谷物法》，本质是工业资产阶级通过经济实力推动政策转向，而非政党共识超越了利益分歧，排除D项。故选A项。</w:t>
      </w:r>
    </w:p>
    <w:p w14:paraId="25753251">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14．B【详解】据本题主题干的设问词，可知这是推断题。据本题时间信息可知准确时空是：中世纪（欧洲）。材料“中世纪的城市，是一个‘共同体的联盟’，它首先宣誓结合，而后才筑起城墙”指城市通过内部契约形成小共同体。“而近代的民族国家，则是一个‘联盟的共同体’，它首先需要打破割据的‘城墙’，才能实现真正的结合。”指民族国家需要打破封建割据，才能形成大共同体。由材可知，“城墙”象征封建割据的壁垒，近代民族国家要实现真正的结合，必须打破这种分裂性的 “城墙”，B项正确；城市自治初期看似是“割据”，但其发展和需求最终导向了支持统一王权，排除A项；材料未涉及语言、文化认同、共同价值观等“文化基础”的内容，仅围绕“打破割据、实现统一结合”的政治逻辑展开，排除C项；材料没有提及市民阶层的政治权利、社会地位的变化信息，排除D项。故选B项。</w:t>
      </w:r>
    </w:p>
    <w:p w14:paraId="16E4770B">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15．B【详解】根据材料可知，拉美各区域经济一体化组织内部出口占总出口比重均较小，这表明拉美国家的对外贸易以域外市场为主，成员国间的贸易往来不活跃，一体化组织的内部贸易带动作用有限。结合所学知识可知，1980～2001年拉美地区虽已摆脱殖民统治，但原料出口型经济的产业结构和依赖外部市场的贸易格局未根本改变，区域经济一体化组织之所以内部贸易薄弱，本质是殖民经济模式留下的产业同构、互补性不足问题的延续，B项正确；材料核心是区域内出口比重小，反映的是拉美内部贸易格局问题，而非其在世界经济中的地位，排除A项；拉美依赖海外贸易的模式并非1980年后出现的新现象，而是从殖民时期延续至今的传统贸易格局，排除C项；材料未提供任何关于拉美各国发展水平差异的信息，无法得出该选项，排除D项。故选B项。</w:t>
      </w:r>
    </w:p>
    <w:p w14:paraId="1AE7D881">
      <w:pPr>
        <w:pStyle w:val="2"/>
        <w:rPr>
          <w:rFonts w:hint="eastAsia"/>
        </w:rPr>
      </w:pPr>
    </w:p>
    <w:p w14:paraId="6AC44901">
      <w:pPr>
        <w:keepNext w:val="0"/>
        <w:keepLines w:val="0"/>
        <w:pageBreakBefore w:val="0"/>
        <w:widowControl w:val="0"/>
        <w:tabs>
          <w:tab w:val="left" w:pos="4873"/>
        </w:tabs>
        <w:kinsoku/>
        <w:wordWrap/>
        <w:overflowPunct/>
        <w:topLinePunct w:val="0"/>
        <w:autoSpaceDE/>
        <w:autoSpaceDN/>
        <w:bidi w:val="0"/>
        <w:adjustRightInd/>
        <w:snapToGrid/>
        <w:spacing w:line="240" w:lineRule="auto"/>
        <w:jc w:val="left"/>
        <w:textAlignment w:val="center"/>
        <w:rPr>
          <w:rFonts w:ascii="宋体" w:hAnsi="宋体"/>
          <w:color w:val="000000"/>
          <w:kern w:val="2"/>
          <w:sz w:val="21"/>
          <w:szCs w:val="21"/>
        </w:rPr>
      </w:pPr>
      <w:r>
        <w:rPr>
          <w:rFonts w:ascii="宋体" w:hAnsi="宋体" w:cs="宋体"/>
          <w:b/>
          <w:bCs/>
          <w:color w:val="000000"/>
          <w:kern w:val="2"/>
          <w:sz w:val="21"/>
          <w:szCs w:val="21"/>
        </w:rPr>
        <w:t>二</w:t>
      </w:r>
      <w:r>
        <w:rPr>
          <w:rFonts w:hint="eastAsia" w:ascii="宋体" w:hAnsi="宋体" w:cs="宋体"/>
          <w:b/>
          <w:bCs/>
          <w:color w:val="000000"/>
          <w:kern w:val="2"/>
          <w:sz w:val="21"/>
          <w:szCs w:val="21"/>
        </w:rPr>
        <w:t>、</w:t>
      </w:r>
      <w:r>
        <w:rPr>
          <w:rFonts w:ascii="宋体" w:hAnsi="宋体" w:cs="宋体"/>
          <w:b/>
          <w:bCs/>
          <w:color w:val="000000"/>
          <w:kern w:val="2"/>
          <w:sz w:val="21"/>
          <w:szCs w:val="21"/>
        </w:rPr>
        <w:t>非选择题</w:t>
      </w:r>
      <w:r>
        <w:rPr>
          <w:rFonts w:hint="eastAsia" w:ascii="宋体" w:hAnsi="宋体" w:cs="宋体"/>
          <w:b/>
          <w:bCs/>
          <w:color w:val="000000"/>
          <w:kern w:val="2"/>
          <w:sz w:val="21"/>
          <w:szCs w:val="21"/>
        </w:rPr>
        <w:t>（本大题共4小题，第1</w:t>
      </w:r>
      <w:r>
        <w:rPr>
          <w:rFonts w:hint="eastAsia" w:ascii="宋体" w:hAnsi="宋体" w:cs="宋体"/>
          <w:b/>
          <w:bCs/>
          <w:color w:val="000000"/>
          <w:kern w:val="2"/>
          <w:sz w:val="21"/>
          <w:szCs w:val="21"/>
          <w:lang w:val="en-US" w:eastAsia="zh-CN"/>
        </w:rPr>
        <w:t>6</w:t>
      </w:r>
      <w:r>
        <w:rPr>
          <w:rFonts w:hint="eastAsia" w:ascii="宋体" w:hAnsi="宋体" w:cs="宋体"/>
          <w:b/>
          <w:bCs/>
          <w:color w:val="000000"/>
          <w:kern w:val="2"/>
          <w:sz w:val="21"/>
          <w:szCs w:val="21"/>
        </w:rPr>
        <w:t>题1</w:t>
      </w:r>
      <w:r>
        <w:rPr>
          <w:rFonts w:hint="eastAsia" w:ascii="宋体" w:hAnsi="宋体" w:cs="宋体"/>
          <w:b/>
          <w:bCs/>
          <w:color w:val="000000"/>
          <w:kern w:val="2"/>
          <w:sz w:val="21"/>
          <w:szCs w:val="21"/>
          <w:lang w:val="en-US" w:eastAsia="zh-CN"/>
        </w:rPr>
        <w:t>4</w:t>
      </w:r>
      <w:r>
        <w:rPr>
          <w:rFonts w:hint="eastAsia" w:ascii="宋体" w:hAnsi="宋体" w:cs="宋体"/>
          <w:b/>
          <w:bCs/>
          <w:color w:val="000000"/>
          <w:kern w:val="2"/>
          <w:sz w:val="21"/>
          <w:szCs w:val="21"/>
        </w:rPr>
        <w:t>分，第1</w:t>
      </w:r>
      <w:r>
        <w:rPr>
          <w:rFonts w:hint="eastAsia" w:ascii="宋体" w:hAnsi="宋体" w:cs="宋体"/>
          <w:b/>
          <w:bCs/>
          <w:color w:val="000000"/>
          <w:kern w:val="2"/>
          <w:sz w:val="21"/>
          <w:szCs w:val="21"/>
          <w:lang w:val="en-US" w:eastAsia="zh-CN"/>
        </w:rPr>
        <w:t>7</w:t>
      </w:r>
      <w:r>
        <w:rPr>
          <w:rFonts w:hint="eastAsia" w:ascii="宋体" w:hAnsi="宋体" w:cs="宋体"/>
          <w:b/>
          <w:bCs/>
          <w:color w:val="000000"/>
          <w:kern w:val="2"/>
          <w:sz w:val="21"/>
          <w:szCs w:val="21"/>
        </w:rPr>
        <w:t>题1</w:t>
      </w:r>
      <w:r>
        <w:rPr>
          <w:rFonts w:hint="eastAsia" w:ascii="宋体" w:hAnsi="宋体" w:cs="宋体"/>
          <w:b/>
          <w:bCs/>
          <w:color w:val="000000"/>
          <w:kern w:val="2"/>
          <w:sz w:val="21"/>
          <w:szCs w:val="21"/>
          <w:lang w:val="en-US" w:eastAsia="zh-CN"/>
        </w:rPr>
        <w:t>4</w:t>
      </w:r>
      <w:r>
        <w:rPr>
          <w:rFonts w:hint="eastAsia" w:ascii="宋体" w:hAnsi="宋体" w:cs="宋体"/>
          <w:b/>
          <w:bCs/>
          <w:color w:val="000000"/>
          <w:kern w:val="2"/>
          <w:sz w:val="21"/>
          <w:szCs w:val="21"/>
        </w:rPr>
        <w:t>分，第</w:t>
      </w:r>
      <w:r>
        <w:rPr>
          <w:rFonts w:hint="eastAsia" w:ascii="宋体" w:hAnsi="宋体" w:cs="宋体"/>
          <w:b/>
          <w:bCs/>
          <w:color w:val="000000"/>
          <w:kern w:val="2"/>
          <w:sz w:val="21"/>
          <w:szCs w:val="21"/>
          <w:lang w:val="en-US" w:eastAsia="zh-CN"/>
        </w:rPr>
        <w:t>18</w:t>
      </w:r>
      <w:r>
        <w:rPr>
          <w:rFonts w:hint="eastAsia" w:ascii="宋体" w:hAnsi="宋体" w:cs="宋体"/>
          <w:b/>
          <w:bCs/>
          <w:color w:val="000000"/>
          <w:kern w:val="2"/>
          <w:sz w:val="21"/>
          <w:szCs w:val="21"/>
        </w:rPr>
        <w:t>题1</w:t>
      </w:r>
      <w:r>
        <w:rPr>
          <w:rFonts w:hint="eastAsia" w:ascii="宋体" w:hAnsi="宋体" w:cs="宋体"/>
          <w:b/>
          <w:bCs/>
          <w:color w:val="000000"/>
          <w:kern w:val="2"/>
          <w:sz w:val="21"/>
          <w:szCs w:val="21"/>
          <w:lang w:val="en-US" w:eastAsia="zh-CN"/>
        </w:rPr>
        <w:t>4</w:t>
      </w:r>
      <w:r>
        <w:rPr>
          <w:rFonts w:hint="eastAsia" w:ascii="宋体" w:hAnsi="宋体" w:cs="宋体"/>
          <w:b/>
          <w:bCs/>
          <w:color w:val="000000"/>
          <w:kern w:val="2"/>
          <w:sz w:val="21"/>
          <w:szCs w:val="21"/>
        </w:rPr>
        <w:t>分，第</w:t>
      </w:r>
      <w:r>
        <w:rPr>
          <w:rFonts w:hint="eastAsia" w:ascii="宋体" w:hAnsi="宋体" w:cs="宋体"/>
          <w:b/>
          <w:bCs/>
          <w:color w:val="000000"/>
          <w:kern w:val="2"/>
          <w:sz w:val="21"/>
          <w:szCs w:val="21"/>
          <w:lang w:val="en-US" w:eastAsia="zh-CN"/>
        </w:rPr>
        <w:t>19</w:t>
      </w:r>
      <w:r>
        <w:rPr>
          <w:rFonts w:hint="eastAsia" w:ascii="宋体" w:hAnsi="宋体" w:cs="宋体"/>
          <w:b/>
          <w:bCs/>
          <w:color w:val="000000"/>
          <w:kern w:val="2"/>
          <w:sz w:val="21"/>
          <w:szCs w:val="21"/>
        </w:rPr>
        <w:t>题1</w:t>
      </w:r>
      <w:r>
        <w:rPr>
          <w:rFonts w:hint="eastAsia" w:ascii="宋体" w:hAnsi="宋体" w:cs="宋体"/>
          <w:b/>
          <w:bCs/>
          <w:color w:val="000000"/>
          <w:kern w:val="2"/>
          <w:sz w:val="21"/>
          <w:szCs w:val="21"/>
          <w:lang w:val="en-US" w:eastAsia="zh-CN"/>
        </w:rPr>
        <w:t>3</w:t>
      </w:r>
      <w:r>
        <w:rPr>
          <w:rFonts w:hint="eastAsia" w:ascii="宋体" w:hAnsi="宋体" w:cs="宋体"/>
          <w:b/>
          <w:bCs/>
          <w:color w:val="000000"/>
          <w:kern w:val="2"/>
          <w:sz w:val="21"/>
          <w:szCs w:val="21"/>
        </w:rPr>
        <w:t>分。）</w:t>
      </w:r>
    </w:p>
    <w:p w14:paraId="5E0F65FD">
      <w:pPr>
        <w:shd w:val="clear" w:color="auto" w:fill="auto"/>
        <w:spacing w:line="240" w:lineRule="auto"/>
        <w:jc w:val="left"/>
        <w:textAlignment w:val="center"/>
        <w:rPr>
          <w:rFonts w:hint="eastAsia" w:ascii="楷体" w:hAnsi="楷体" w:eastAsia="楷体" w:cs="楷体"/>
          <w:sz w:val="21"/>
          <w:lang w:eastAsia="zh-CN"/>
        </w:rPr>
      </w:pPr>
      <w:r>
        <w:rPr>
          <w:rFonts w:hint="eastAsia" w:ascii="楷体" w:hAnsi="楷体" w:eastAsia="楷体" w:cs="楷体"/>
          <w:sz w:val="21"/>
        </w:rPr>
        <w:t>16．</w:t>
      </w:r>
      <w:r>
        <w:rPr>
          <w:rFonts w:hint="eastAsia" w:ascii="楷体" w:hAnsi="楷体" w:eastAsia="楷体" w:cs="楷体"/>
          <w:sz w:val="21"/>
          <w:lang w:eastAsia="zh-CN"/>
        </w:rPr>
        <w:t>（</w:t>
      </w:r>
      <w:r>
        <w:rPr>
          <w:rFonts w:hint="eastAsia" w:ascii="楷体" w:hAnsi="楷体" w:eastAsia="楷体" w:cs="楷体"/>
          <w:sz w:val="21"/>
          <w:lang w:val="en-US" w:eastAsia="zh-CN"/>
        </w:rPr>
        <w:t>14分</w:t>
      </w:r>
      <w:r>
        <w:rPr>
          <w:rFonts w:hint="eastAsia" w:ascii="楷体" w:hAnsi="楷体" w:eastAsia="楷体" w:cs="楷体"/>
          <w:sz w:val="21"/>
          <w:lang w:eastAsia="zh-CN"/>
        </w:rPr>
        <w:t>）</w:t>
      </w:r>
      <w:r>
        <w:rPr>
          <w:rFonts w:hint="eastAsia" w:ascii="楷体" w:hAnsi="楷体" w:eastAsia="楷体" w:cs="楷体"/>
          <w:sz w:val="21"/>
        </w:rPr>
        <w:t>(1)原则：战争交锋应贯彻“不诈”原则；对有国丧及发生灾害的国家不得发动战争（不在国丧和灾荒期间发动战争）；战争不得屠杀无辜百姓。</w:t>
      </w:r>
      <w:r>
        <w:rPr>
          <w:rFonts w:hint="eastAsia" w:ascii="楷体" w:hAnsi="楷体" w:eastAsia="楷体" w:cs="楷体"/>
          <w:sz w:val="21"/>
          <w:lang w:eastAsia="zh-CN"/>
        </w:rPr>
        <w:t>（</w:t>
      </w:r>
      <w:r>
        <w:rPr>
          <w:rFonts w:hint="eastAsia" w:ascii="楷体" w:hAnsi="楷体" w:eastAsia="楷体" w:cs="楷体"/>
          <w:sz w:val="21"/>
          <w:lang w:val="en-US" w:eastAsia="zh-CN"/>
        </w:rPr>
        <w:t>3分</w:t>
      </w:r>
      <w:r>
        <w:rPr>
          <w:rFonts w:hint="eastAsia" w:ascii="楷体" w:hAnsi="楷体" w:eastAsia="楷体" w:cs="楷体"/>
          <w:sz w:val="21"/>
          <w:lang w:eastAsia="zh-CN"/>
        </w:rPr>
        <w:t>）</w:t>
      </w:r>
    </w:p>
    <w:p w14:paraId="1EB5E93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(2)目的：社会秩序维度：破坏大后方经济，扰乱大后方社会秩序；人民/民众思想维度：破坏大后方人民正常生活，摧毁中国人民继续抗战的意志和决心；国家/政府维度：破坏中国抗战前途，迫使中国政府投降。</w:t>
      </w:r>
      <w:r>
        <w:rPr>
          <w:rFonts w:hint="eastAsia" w:ascii="楷体" w:hAnsi="楷体" w:eastAsia="楷体" w:cs="楷体"/>
          <w:sz w:val="21"/>
          <w:lang w:eastAsia="zh-CN"/>
        </w:rPr>
        <w:t>（</w:t>
      </w:r>
      <w:r>
        <w:rPr>
          <w:rFonts w:hint="eastAsia" w:ascii="楷体" w:hAnsi="楷体" w:eastAsia="楷体" w:cs="楷体"/>
          <w:sz w:val="21"/>
          <w:lang w:val="en-US" w:eastAsia="zh-CN"/>
        </w:rPr>
        <w:t>6分</w:t>
      </w:r>
      <w:r>
        <w:rPr>
          <w:rFonts w:hint="eastAsia" w:ascii="楷体" w:hAnsi="楷体" w:eastAsia="楷体" w:cs="楷体"/>
          <w:sz w:val="21"/>
          <w:lang w:eastAsia="zh-CN"/>
        </w:rPr>
        <w:t>）</w:t>
      </w:r>
      <w:r>
        <w:rPr>
          <w:rFonts w:hint="eastAsia" w:ascii="楷体" w:hAnsi="楷体" w:eastAsia="楷体" w:cs="楷体"/>
          <w:sz w:val="21"/>
        </w:rPr>
        <w:t>手段：无差别轰炸。</w:t>
      </w:r>
      <w:r>
        <w:rPr>
          <w:rFonts w:hint="eastAsia" w:ascii="楷体" w:hAnsi="楷体" w:eastAsia="楷体" w:cs="楷体"/>
          <w:sz w:val="21"/>
          <w:lang w:eastAsia="zh-CN"/>
        </w:rPr>
        <w:t>（</w:t>
      </w:r>
      <w:r>
        <w:rPr>
          <w:rFonts w:hint="eastAsia" w:ascii="楷体" w:hAnsi="楷体" w:eastAsia="楷体" w:cs="楷体"/>
          <w:sz w:val="21"/>
          <w:lang w:val="en-US" w:eastAsia="zh-CN"/>
        </w:rPr>
        <w:t>2分</w:t>
      </w:r>
      <w:r>
        <w:rPr>
          <w:rFonts w:hint="eastAsia" w:ascii="楷体" w:hAnsi="楷体" w:eastAsia="楷体" w:cs="楷体"/>
          <w:sz w:val="21"/>
          <w:lang w:eastAsia="zh-CN"/>
        </w:rPr>
        <w:t>）</w:t>
      </w:r>
    </w:p>
    <w:p w14:paraId="621725AB">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(3)主要内容：维持正常家庭生活；保障人身安全、信仰与健康。</w:t>
      </w:r>
      <w:r>
        <w:rPr>
          <w:rFonts w:hint="eastAsia" w:ascii="楷体" w:hAnsi="楷体" w:eastAsia="楷体" w:cs="楷体"/>
          <w:sz w:val="21"/>
          <w:lang w:eastAsia="zh-CN"/>
        </w:rPr>
        <w:t>（</w:t>
      </w:r>
      <w:r>
        <w:rPr>
          <w:rFonts w:hint="eastAsia" w:ascii="楷体" w:hAnsi="楷体" w:eastAsia="楷体" w:cs="楷体"/>
          <w:sz w:val="21"/>
          <w:lang w:val="en-US" w:eastAsia="zh-CN"/>
        </w:rPr>
        <w:t>3分</w:t>
      </w:r>
      <w:r>
        <w:rPr>
          <w:rFonts w:hint="eastAsia" w:ascii="楷体" w:hAnsi="楷体" w:eastAsia="楷体" w:cs="楷体"/>
          <w:sz w:val="21"/>
          <w:lang w:eastAsia="zh-CN"/>
        </w:rPr>
        <w:t>）</w:t>
      </w:r>
    </w:p>
    <w:p w14:paraId="01FAD16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详解】（1）原则：由材料一“宋楚泓水之战中，宋襄公因未能听取属下建议——利用楚军渡河以及未摆好阵型的机会发动进攻而战败”、“寡人虽亡国之余，不鼓不成列”可得，战争交锋应贯彻“不诈”原则；由材料一“战争的发动‘不加丧，不因凶（灾荒）’”、“楚人将伐陈，问丧乃止”可得，对有国丧及发生灾害的国家不得发动战争（不在国丧和灾荒期间发动战争）；由材料一“凡诛，非诛其百姓也，诛乱百姓者也”可得，战争不得屠杀无辜百姓。</w:t>
      </w:r>
    </w:p>
    <w:p w14:paraId="59F1ECBB">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目的：社会秩序维度：由材料二“企图吾同胞于流离失所之中，减少生产”、“妨害我社会之安宁，妄想扰吾之秩序”可得，破坏大后方经济，扰乱大后方社会秩序。人民/民众思想维度：由材料二“断绝吾同胞之生活”、“威胁吾全国民众抗战之精神”、“希冀吾同胞之屈膝投降”可得，破坏大后方人民正常生活，摧毁中国人民继续抗战的意志和决心；国家/政府维度：由材料二“影响抗战之前途”、“希冀吾同胞之屈膝投降”可得，破坏中国抗战前途，迫使中国政府投降。手段：由材料二“全面抗战时期，侵华日军集中主要航空兵力，对以重庆为中心的后方城市进行了长时间的轰炸”、“不断的轰炸威胁”、“猛烈之轰炸”、“集中的轰炸”可得，无差别轰炸。</w:t>
      </w:r>
    </w:p>
    <w:p w14:paraId="4C0D7F29">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3）主要内容：由材料三“必须被允许以私人方式传递家庭信息”、“被协助获知冲突中失散家庭成员的信息”、“都应家庭团聚，并为之提供便利”、“使正常家庭生活得以进行”可得，维持正常家庭生活；由材料三“受伤或患病的平民……新月组织的保护之下”、“受保护平民不能被用于人体盾牌”、“不能被施以任何集体惩罚……不人道之对待”、“必须被允许依照自身的信仰来进行宗教活动”可得，保障人身安全、信仰与健康。</w:t>
      </w:r>
    </w:p>
    <w:p w14:paraId="67C6BEC7">
      <w:pPr>
        <w:shd w:val="clear" w:color="auto" w:fill="auto"/>
        <w:spacing w:line="240" w:lineRule="auto"/>
        <w:jc w:val="left"/>
        <w:textAlignment w:val="center"/>
        <w:rPr>
          <w:rFonts w:hint="eastAsia" w:ascii="楷体" w:hAnsi="楷体" w:eastAsia="楷体" w:cs="楷体"/>
          <w:sz w:val="21"/>
        </w:rPr>
      </w:pPr>
    </w:p>
    <w:p w14:paraId="076D4073">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17．</w:t>
      </w:r>
      <w:r>
        <w:rPr>
          <w:rFonts w:hint="eastAsia" w:ascii="楷体" w:hAnsi="楷体" w:eastAsia="楷体" w:cs="楷体"/>
          <w:sz w:val="21"/>
          <w:lang w:eastAsia="zh-CN"/>
        </w:rPr>
        <w:t>（</w:t>
      </w:r>
      <w:r>
        <w:rPr>
          <w:rFonts w:hint="eastAsia" w:ascii="楷体" w:hAnsi="楷体" w:eastAsia="楷体" w:cs="楷体"/>
          <w:sz w:val="21"/>
          <w:lang w:val="en-US" w:eastAsia="zh-CN"/>
        </w:rPr>
        <w:t>14分</w:t>
      </w:r>
      <w:r>
        <w:rPr>
          <w:rFonts w:hint="eastAsia" w:ascii="楷体" w:hAnsi="楷体" w:eastAsia="楷体" w:cs="楷体"/>
          <w:sz w:val="21"/>
          <w:lang w:eastAsia="zh-CN"/>
        </w:rPr>
        <w:t>）</w:t>
      </w:r>
      <w:r>
        <w:rPr>
          <w:rFonts w:hint="eastAsia" w:ascii="楷体" w:hAnsi="楷体" w:eastAsia="楷体" w:cs="楷体"/>
          <w:sz w:val="21"/>
        </w:rPr>
        <w:t>(1)沙皇帝国崩溃，社会主义国家苏联诞生；德意志帝国、奥匈帝国、奥斯曼帝国瓦解；出现众多新兴民族国家</w:t>
      </w:r>
      <w:r>
        <w:rPr>
          <w:rFonts w:hint="eastAsia" w:ascii="楷体" w:hAnsi="楷体" w:eastAsia="楷体" w:cs="楷体"/>
          <w:sz w:val="21"/>
          <w:lang w:val="en-US" w:eastAsia="zh-CN"/>
        </w:rPr>
        <w:t>。</w:t>
      </w:r>
      <w:r>
        <w:rPr>
          <w:rFonts w:hint="eastAsia" w:ascii="楷体" w:hAnsi="楷体" w:eastAsia="楷体" w:cs="楷体"/>
          <w:sz w:val="21"/>
          <w:lang w:eastAsia="zh-CN"/>
        </w:rPr>
        <w:t>（</w:t>
      </w:r>
      <w:r>
        <w:rPr>
          <w:rFonts w:hint="eastAsia" w:ascii="楷体" w:hAnsi="楷体" w:eastAsia="楷体" w:cs="楷体"/>
          <w:sz w:val="21"/>
          <w:lang w:val="en-US" w:eastAsia="zh-CN"/>
        </w:rPr>
        <w:t>4分</w:t>
      </w:r>
      <w:r>
        <w:rPr>
          <w:rFonts w:hint="eastAsia" w:ascii="楷体" w:hAnsi="楷体" w:eastAsia="楷体" w:cs="楷体"/>
          <w:sz w:val="21"/>
          <w:lang w:eastAsia="zh-CN"/>
        </w:rPr>
        <w:t>）</w:t>
      </w:r>
    </w:p>
    <w:p w14:paraId="287F40A4">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(2)时代背景：民族解放运动高涨，亚非国家相继赢得独立；美苏两极对峙格局逐渐形成；不结盟运动兴起，第三世界作为独立的政治力量登上历史舞台。（任答两点即可）</w:t>
      </w:r>
      <w:r>
        <w:rPr>
          <w:rFonts w:hint="eastAsia" w:ascii="楷体" w:hAnsi="楷体" w:eastAsia="楷体" w:cs="楷体"/>
          <w:sz w:val="21"/>
          <w:lang w:eastAsia="zh-CN"/>
        </w:rPr>
        <w:t>（</w:t>
      </w:r>
      <w:r>
        <w:rPr>
          <w:rFonts w:hint="eastAsia" w:ascii="楷体" w:hAnsi="楷体" w:eastAsia="楷体" w:cs="楷体"/>
          <w:sz w:val="21"/>
          <w:lang w:val="en-US" w:eastAsia="zh-CN"/>
        </w:rPr>
        <w:t>6分</w:t>
      </w:r>
      <w:r>
        <w:rPr>
          <w:rFonts w:hint="eastAsia" w:ascii="楷体" w:hAnsi="楷体" w:eastAsia="楷体" w:cs="楷体"/>
          <w:sz w:val="21"/>
          <w:lang w:eastAsia="zh-CN"/>
        </w:rPr>
        <w:t>）</w:t>
      </w:r>
    </w:p>
    <w:p w14:paraId="53FD7E4C">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变化因素：国家利益；国家实力；国际局势；国家性质。（任答两点即可）</w:t>
      </w:r>
      <w:r>
        <w:rPr>
          <w:rFonts w:hint="eastAsia" w:ascii="楷体" w:hAnsi="楷体" w:eastAsia="楷体" w:cs="楷体"/>
          <w:sz w:val="21"/>
          <w:lang w:eastAsia="zh-CN"/>
        </w:rPr>
        <w:t>（</w:t>
      </w:r>
      <w:r>
        <w:rPr>
          <w:rFonts w:hint="eastAsia" w:ascii="楷体" w:hAnsi="楷体" w:eastAsia="楷体" w:cs="楷体"/>
          <w:sz w:val="21"/>
          <w:lang w:val="en-US" w:eastAsia="zh-CN"/>
        </w:rPr>
        <w:t>4分</w:t>
      </w:r>
      <w:r>
        <w:rPr>
          <w:rFonts w:hint="eastAsia" w:ascii="楷体" w:hAnsi="楷体" w:eastAsia="楷体" w:cs="楷体"/>
          <w:sz w:val="21"/>
          <w:lang w:eastAsia="zh-CN"/>
        </w:rPr>
        <w:t>）</w:t>
      </w:r>
    </w:p>
    <w:p w14:paraId="6B157F8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详解】（1）本题是对比题。时空是1914—1924年（欧洲）。根据材料两幅地图的时间限定“1914年和1924年”，根据1914年地图为一战开始前的欧洲，1924年地图是一战结束后，巴黎和会及华盛顿会议对战败国进行宰割之后的欧洲地图可知，一战结束后，受英法美等国操作会议的影响，战后四大帝国崩溃，沙皇俄国崩溃，苏联成立；根据战后国际局势可知，奥匈帝国分裂为奥地利和匈牙利，德意志帝国崩溃，领土被瓜分，奥斯曼帝国瓦解，主体变为土耳其；根据战后新兴民族国家可知，出现了众多新兴民族国家。</w:t>
      </w:r>
    </w:p>
    <w:p w14:paraId="7AB9A983">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本题是背景题。时空是20世纪（世界）。时代背景：根据材料“缅甸自1948年1月独立起，即宣称奉行独立自主的中立主义外交政策”可知，民族解放运动高涨，亚非国家相继赢得独立；根据材料中的时间信息可知，美苏两极对峙格局逐渐形成；根据材料“我们所处的环境要求我们奉行独立自主的路线和不与任何集团结盟”可知，不结盟运动兴起，第三世界作为独立的政治力量登上历史舞台。变化因素：结合影响国际关系的因素可知，国家利益和国家实力；根据材料“我们所处的环境要求我们奉行独立自主的路线和不与任何集团结盟”可知，国际局势；根据材料“《缅甸联邦社会主义共和国宪法》”可知，国家性质。</w:t>
      </w:r>
    </w:p>
    <w:p w14:paraId="77F616C1">
      <w:pPr>
        <w:shd w:val="clear" w:color="auto" w:fill="auto"/>
        <w:spacing w:line="240" w:lineRule="auto"/>
        <w:jc w:val="left"/>
        <w:textAlignment w:val="center"/>
        <w:rPr>
          <w:rFonts w:hint="eastAsia" w:ascii="楷体" w:hAnsi="楷体" w:eastAsia="楷体" w:cs="楷体"/>
          <w:sz w:val="21"/>
        </w:rPr>
      </w:pPr>
    </w:p>
    <w:p w14:paraId="3B294498">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18．</w:t>
      </w:r>
      <w:r>
        <w:rPr>
          <w:rFonts w:hint="eastAsia" w:ascii="楷体" w:hAnsi="楷体" w:eastAsia="楷体" w:cs="楷体"/>
          <w:sz w:val="21"/>
          <w:lang w:eastAsia="zh-CN"/>
        </w:rPr>
        <w:t>（</w:t>
      </w:r>
      <w:r>
        <w:rPr>
          <w:rFonts w:hint="eastAsia" w:ascii="楷体" w:hAnsi="楷体" w:eastAsia="楷体" w:cs="楷体"/>
          <w:sz w:val="21"/>
          <w:lang w:val="en-US" w:eastAsia="zh-CN"/>
        </w:rPr>
        <w:t>14分</w:t>
      </w:r>
      <w:r>
        <w:rPr>
          <w:rFonts w:hint="eastAsia" w:ascii="楷体" w:hAnsi="楷体" w:eastAsia="楷体" w:cs="楷体"/>
          <w:sz w:val="21"/>
          <w:lang w:eastAsia="zh-CN"/>
        </w:rPr>
        <w:t>）</w:t>
      </w:r>
      <w:r>
        <w:rPr>
          <w:rFonts w:hint="eastAsia" w:ascii="楷体" w:hAnsi="楷体" w:eastAsia="楷体" w:cs="楷体"/>
          <w:sz w:val="21"/>
        </w:rPr>
        <w:t>(1)历史条件：国家统一的实现和中央集权的强化；封建经济的发展；“天下一家”治理理念的影响；专门机构的建立；交通体系的进步；历代治边经验和成果的积累。</w:t>
      </w:r>
      <w:r>
        <w:rPr>
          <w:rFonts w:hint="eastAsia" w:ascii="楷体" w:hAnsi="楷体" w:eastAsia="楷体" w:cs="楷体"/>
          <w:sz w:val="21"/>
          <w:lang w:eastAsia="zh-CN"/>
        </w:rPr>
        <w:t>（</w:t>
      </w:r>
      <w:r>
        <w:rPr>
          <w:rFonts w:hint="eastAsia" w:ascii="楷体" w:hAnsi="楷体" w:eastAsia="楷体" w:cs="楷体"/>
          <w:sz w:val="21"/>
          <w:lang w:val="en-US" w:eastAsia="zh-CN"/>
        </w:rPr>
        <w:t>4分</w:t>
      </w:r>
      <w:r>
        <w:rPr>
          <w:rFonts w:hint="eastAsia" w:ascii="楷体" w:hAnsi="楷体" w:eastAsia="楷体" w:cs="楷体"/>
          <w:sz w:val="21"/>
          <w:lang w:eastAsia="zh-CN"/>
        </w:rPr>
        <w:t>）</w:t>
      </w:r>
    </w:p>
    <w:p w14:paraId="5C4B4A6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(2)主要措施：确立并实行民族区域自治制度；实行西部大开发战略；实施兴边富民行动、深化对口支援；开展“中华民族一家亲”等文化交流活动。</w:t>
      </w:r>
      <w:r>
        <w:rPr>
          <w:rFonts w:hint="eastAsia" w:ascii="楷体" w:hAnsi="楷体" w:eastAsia="楷体" w:cs="楷体"/>
          <w:sz w:val="21"/>
          <w:lang w:eastAsia="zh-CN"/>
        </w:rPr>
        <w:t>（</w:t>
      </w:r>
      <w:r>
        <w:rPr>
          <w:rFonts w:hint="eastAsia" w:ascii="楷体" w:hAnsi="楷体" w:eastAsia="楷体" w:cs="楷体"/>
          <w:sz w:val="21"/>
          <w:lang w:val="en-US" w:eastAsia="zh-CN"/>
        </w:rPr>
        <w:t>4分</w:t>
      </w:r>
      <w:r>
        <w:rPr>
          <w:rFonts w:hint="eastAsia" w:ascii="楷体" w:hAnsi="楷体" w:eastAsia="楷体" w:cs="楷体"/>
          <w:sz w:val="21"/>
          <w:lang w:eastAsia="zh-CN"/>
        </w:rPr>
        <w:t>）</w:t>
      </w:r>
    </w:p>
    <w:p w14:paraId="142A0759">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意义：保障了各民族平等权利；推动了民族地区经济的发展；促进了民族交融；增强了中华民族的凝聚力；有利于中华民族的伟大复兴。</w:t>
      </w:r>
      <w:r>
        <w:rPr>
          <w:rFonts w:hint="eastAsia" w:ascii="楷体" w:hAnsi="楷体" w:eastAsia="楷体" w:cs="楷体"/>
          <w:sz w:val="21"/>
          <w:lang w:eastAsia="zh-CN"/>
        </w:rPr>
        <w:t>（</w:t>
      </w:r>
      <w:r>
        <w:rPr>
          <w:rFonts w:hint="eastAsia" w:ascii="楷体" w:hAnsi="楷体" w:eastAsia="楷体" w:cs="楷体"/>
          <w:sz w:val="21"/>
          <w:lang w:val="en-US" w:eastAsia="zh-CN"/>
        </w:rPr>
        <w:t>6分</w:t>
      </w:r>
      <w:r>
        <w:rPr>
          <w:rFonts w:hint="eastAsia" w:ascii="楷体" w:hAnsi="楷体" w:eastAsia="楷体" w:cs="楷体"/>
          <w:sz w:val="21"/>
          <w:lang w:eastAsia="zh-CN"/>
        </w:rPr>
        <w:t>）</w:t>
      </w:r>
    </w:p>
    <w:p w14:paraId="3E838826">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详解】（1）历史条件：根据所学知识可知，清朝是一个大一统王朝，由此可知国家统一的实现和中央集权的强化；根据材料“鼓励晋商、陕商赴蒙古、新疆贸易，推广中原农耕技术与手工业技艺”并结合所学知识可知，封建经济的发展；根据材料“清廷以‘天下一家’为治边核心理念”可知，“天下一家”治理理念的影响；根据材料“设理藩院专管边疆民族事务”可知，专门机构的建立；根据材料“开通边疆与内地的商道”可知，交通体系的进步；根据材料“对蒙古推行盟旗制度；在西藏册封达赖、班禅，派遣驻藏大臣监督地方政务；于西南推行改土归流，废除土司世袭特权，委派流官治理；设理藩院专管边疆民族事务。同时，开通边疆与内地的商道，鼓励晋商、陕商赴蒙古、新疆贸易，推广中原农耕技术与手工业技艺。边疆各族首领定期朝觐，中原文化与边疆民族文化相互交融”并结合所学知识可知，历代治边经验和成果的积累。</w:t>
      </w:r>
    </w:p>
    <w:p w14:paraId="1252B88F">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2）主要措施：根据材料“新中国成立后，确立民族区域自治制度为基本政治制度，保障各少数民族当家作主权利”可知，确立并实行民族区域自治制度；根据材料“新时代以来，国家深入推进民族团结进步创建工作，实施兴边富民行动，继续推进对口支援，助力西藏、新疆、内蒙古等民族地区脱贫摘帽。建成川藏铁路、墨脱公路等重大工程，推动民族地区经济社会跨越式发展”可知，实行西部大开发战略；实施兴边富民行动、深化对口支援；根据材料“开展‘中华民族一家亲’等文化交流活动，保护传承各民族优秀传统文化，促进各民族交往交流交融”可知，开展“中华民族一家亲”等文化交流活动。意义：根据材料“新中国成立后，确立民族区域自治制度为基本政治制度，保障各少数民族当家作主权利”可知，保障了各民族平等权利；根据材料“新时代以来，国家深入推进民族团结进步创建工作，实施兴边富民行动，继续推进对口支援，助力西藏、新疆、内蒙古等民族地区脱贫摘帽。建成川藏铁路、墨脱公路等重大工程，推动民族地区经济社会跨越式发展”可知，推动了民族地区经济的发展；根据材料“开展‘中华民族一家亲’等文化交流活动，保护传承各民族优秀传统文化，促进各民族交往交流交融”可知，促进了民族交融；增强了中华民族的凝聚力；有利于中华民族的伟大复兴。</w:t>
      </w:r>
    </w:p>
    <w:p w14:paraId="134AB922">
      <w:pPr>
        <w:shd w:val="clear" w:color="auto" w:fill="auto"/>
        <w:spacing w:line="240" w:lineRule="auto"/>
        <w:jc w:val="left"/>
        <w:textAlignment w:val="center"/>
        <w:rPr>
          <w:rFonts w:hint="eastAsia" w:ascii="楷体" w:hAnsi="楷体" w:eastAsia="楷体" w:cs="楷体"/>
          <w:sz w:val="21"/>
        </w:rPr>
      </w:pPr>
    </w:p>
    <w:p w14:paraId="1B6049B7">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19．</w:t>
      </w:r>
      <w:r>
        <w:rPr>
          <w:rFonts w:hint="eastAsia" w:ascii="楷体" w:hAnsi="楷体" w:eastAsia="楷体" w:cs="楷体"/>
          <w:sz w:val="21"/>
          <w:lang w:eastAsia="zh-CN"/>
        </w:rPr>
        <w:t>（</w:t>
      </w:r>
      <w:r>
        <w:rPr>
          <w:rFonts w:hint="eastAsia" w:ascii="楷体" w:hAnsi="楷体" w:eastAsia="楷体" w:cs="楷体"/>
          <w:sz w:val="21"/>
          <w:lang w:val="en-US" w:eastAsia="zh-CN"/>
        </w:rPr>
        <w:t>13分</w:t>
      </w:r>
      <w:r>
        <w:rPr>
          <w:rFonts w:hint="eastAsia" w:ascii="楷体" w:hAnsi="楷体" w:eastAsia="楷体" w:cs="楷体"/>
          <w:sz w:val="21"/>
          <w:lang w:eastAsia="zh-CN"/>
        </w:rPr>
        <w:t>）</w:t>
      </w:r>
      <w:r>
        <w:rPr>
          <w:rFonts w:hint="eastAsia" w:ascii="楷体" w:hAnsi="楷体" w:eastAsia="楷体" w:cs="楷体"/>
          <w:sz w:val="21"/>
        </w:rPr>
        <w:t>示例：</w:t>
      </w:r>
    </w:p>
    <w:p w14:paraId="495B6AA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论题：国际社会治理模式的演变深受时代背景影响。</w:t>
      </w:r>
      <w:r>
        <w:rPr>
          <w:rFonts w:hint="eastAsia" w:ascii="楷体" w:hAnsi="楷体" w:eastAsia="楷体" w:cs="楷体"/>
          <w:sz w:val="21"/>
          <w:lang w:eastAsia="zh-CN"/>
        </w:rPr>
        <w:t>（</w:t>
      </w:r>
      <w:r>
        <w:rPr>
          <w:rFonts w:hint="eastAsia" w:ascii="楷体" w:hAnsi="楷体" w:eastAsia="楷体" w:cs="楷体"/>
          <w:sz w:val="21"/>
          <w:lang w:val="en-US" w:eastAsia="zh-CN"/>
        </w:rPr>
        <w:t>2分</w:t>
      </w:r>
      <w:r>
        <w:rPr>
          <w:rFonts w:hint="eastAsia" w:ascii="楷体" w:hAnsi="楷体" w:eastAsia="楷体" w:cs="楷体"/>
          <w:sz w:val="21"/>
          <w:lang w:eastAsia="zh-CN"/>
        </w:rPr>
        <w:t>）</w:t>
      </w:r>
    </w:p>
    <w:p w14:paraId="1785F60A">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阐述：在维也纳体系时期（19世纪初），拿破仑战争结束后，欧洲各国为了恢复和维持欧洲的均势与和平，形成了大国协调的治理模式。当时，英、俄、普、奥等大国通过召开国际会议，如维也纳会议等，共同商讨解决欧洲的政治、领土等问题，以协调彼此利益，维护欧洲的稳定秩序。这一模式下，大国主导国际事务，体现出鲜明的国家中心色彩，这是因为当时欧洲各国的实力相对均衡，没有一个国家能完全主宰欧洲事务，只能通过大国间的协商来解决问题，反映了当时欧洲政治格局的现实。</w:t>
      </w:r>
      <w:r>
        <w:rPr>
          <w:rFonts w:hint="eastAsia" w:ascii="楷体" w:hAnsi="楷体" w:eastAsia="楷体" w:cs="楷体"/>
          <w:sz w:val="21"/>
          <w:lang w:eastAsia="zh-CN"/>
        </w:rPr>
        <w:t>（</w:t>
      </w:r>
      <w:r>
        <w:rPr>
          <w:rFonts w:hint="eastAsia" w:ascii="楷体" w:hAnsi="楷体" w:eastAsia="楷体" w:cs="楷体"/>
          <w:sz w:val="21"/>
          <w:lang w:val="en-US" w:eastAsia="zh-CN"/>
        </w:rPr>
        <w:t>3分</w:t>
      </w:r>
      <w:r>
        <w:rPr>
          <w:rFonts w:hint="eastAsia" w:ascii="楷体" w:hAnsi="楷体" w:eastAsia="楷体" w:cs="楷体"/>
          <w:sz w:val="21"/>
          <w:lang w:eastAsia="zh-CN"/>
        </w:rPr>
        <w:t>）</w:t>
      </w:r>
    </w:p>
    <w:p w14:paraId="7052AFE3">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冷战时期（20世纪40年代后期—90年代初），美苏两个超级大国对峙，形成两极格局。在这一格局下，国家对国际组织和国际机制实现了彻底掌控。例如联合国在一定程度上成为美苏博弈的舞台，北约和华约两大军事集团分别由美、苏主导，成为它们推行霸权、遏制对手的工具。这一时期的国家中心治理模式，是由于美苏两国实力超群，在政治、经济、军事等各方面远超其他国家，从而能够主导国际事务，这正是冷战背景下两极对抗的体现。</w:t>
      </w:r>
      <w:r>
        <w:rPr>
          <w:rFonts w:hint="eastAsia" w:ascii="楷体" w:hAnsi="楷体" w:eastAsia="楷体" w:cs="楷体"/>
          <w:sz w:val="21"/>
          <w:lang w:eastAsia="zh-CN"/>
        </w:rPr>
        <w:t>（</w:t>
      </w:r>
      <w:r>
        <w:rPr>
          <w:rFonts w:hint="eastAsia" w:ascii="楷体" w:hAnsi="楷体" w:eastAsia="楷体" w:cs="楷体"/>
          <w:sz w:val="21"/>
          <w:lang w:val="en-US" w:eastAsia="zh-CN"/>
        </w:rPr>
        <w:t>3分</w:t>
      </w:r>
      <w:r>
        <w:rPr>
          <w:rFonts w:hint="eastAsia" w:ascii="楷体" w:hAnsi="楷体" w:eastAsia="楷体" w:cs="楷体"/>
          <w:sz w:val="21"/>
          <w:lang w:eastAsia="zh-CN"/>
        </w:rPr>
        <w:t>）</w:t>
      </w:r>
    </w:p>
    <w:p w14:paraId="6E10C3A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冷战结束后（20世纪90年代以来），国际形势发生重大变化。一方面，美国虽然仍是唯一的超级大国，但霸权治理结构逐渐衰落，欧盟、中国、俄罗斯等国家和地区的实力不断上升，多极治理结构凸显。例如在国际气候谈判、全球贸易等诸多领域，不再是美国一家独大，而是多个力量中心共同参与、协商解决问题。另一方面，网络化治理出现，非政府组织、跨国公司等非国家行为体在全球治理中的作用日益增强，它们与国家、国际组织相互交织，形成复杂的网络治理结构。此外，政府间组织角色也发生转变，从传统上更多受大国操纵，逐渐向更具自主性、更能反映广大国家意愿的方向发展。这一系列变化是因为冷战结束后，世界经济全球化加速，各国相互依存度加深，新兴国家崛起，国际力量对比发生改变，时代背景的变化推动了国际社会治理模式的变革。</w:t>
      </w:r>
      <w:r>
        <w:rPr>
          <w:rFonts w:hint="eastAsia" w:ascii="楷体" w:hAnsi="楷体" w:eastAsia="楷体" w:cs="楷体"/>
          <w:sz w:val="21"/>
          <w:lang w:eastAsia="zh-CN"/>
        </w:rPr>
        <w:t>（</w:t>
      </w:r>
      <w:r>
        <w:rPr>
          <w:rFonts w:hint="eastAsia" w:ascii="楷体" w:hAnsi="楷体" w:eastAsia="楷体" w:cs="楷体"/>
          <w:sz w:val="21"/>
          <w:lang w:val="en-US" w:eastAsia="zh-CN"/>
        </w:rPr>
        <w:t>3分</w:t>
      </w:r>
      <w:r>
        <w:rPr>
          <w:rFonts w:hint="eastAsia" w:ascii="楷体" w:hAnsi="楷体" w:eastAsia="楷体" w:cs="楷体"/>
          <w:sz w:val="21"/>
          <w:lang w:eastAsia="zh-CN"/>
        </w:rPr>
        <w:t>）</w:t>
      </w:r>
    </w:p>
    <w:p w14:paraId="513ABDA2">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综上所述，从维也纳体系到冷战结束后，国际社会治理模式从大国协调到大国掌控国际组织，再到多极治理、网络化治理等的演变，始终与当时的时代背景紧密相连，深受国际政治、经济格局变化的影响。（从国际社会治理模式演变与发展方向阐述亦可）</w:t>
      </w:r>
      <w:r>
        <w:rPr>
          <w:rFonts w:hint="eastAsia" w:ascii="楷体" w:hAnsi="楷体" w:eastAsia="楷体" w:cs="楷体"/>
          <w:sz w:val="21"/>
          <w:lang w:eastAsia="zh-CN"/>
        </w:rPr>
        <w:t>（</w:t>
      </w:r>
      <w:r>
        <w:rPr>
          <w:rFonts w:hint="eastAsia" w:ascii="楷体" w:hAnsi="楷体" w:eastAsia="楷体" w:cs="楷体"/>
          <w:sz w:val="21"/>
          <w:lang w:val="en-US" w:eastAsia="zh-CN"/>
        </w:rPr>
        <w:t>2分</w:t>
      </w:r>
      <w:r>
        <w:rPr>
          <w:rFonts w:hint="eastAsia" w:ascii="楷体" w:hAnsi="楷体" w:eastAsia="楷体" w:cs="楷体"/>
          <w:sz w:val="21"/>
          <w:lang w:eastAsia="zh-CN"/>
        </w:rPr>
        <w:t>）</w:t>
      </w:r>
    </w:p>
    <w:p w14:paraId="259ECE1E">
      <w:pPr>
        <w:shd w:val="clear" w:color="auto" w:fill="auto"/>
        <w:spacing w:line="240" w:lineRule="auto"/>
        <w:jc w:val="left"/>
        <w:textAlignment w:val="center"/>
        <w:rPr>
          <w:rFonts w:hint="eastAsia" w:ascii="楷体" w:hAnsi="楷体" w:eastAsia="楷体" w:cs="楷体"/>
          <w:sz w:val="21"/>
        </w:rPr>
      </w:pPr>
      <w:r>
        <w:rPr>
          <w:rFonts w:hint="eastAsia" w:ascii="楷体" w:hAnsi="楷体" w:eastAsia="楷体" w:cs="楷体"/>
          <w:sz w:val="21"/>
        </w:rPr>
        <w:t>【详解】根据材料“国际社会治理模式的演变”核心信息（维也纳体系时期大国协调、冷战时期大国掌控、冷战后多极与网络化治理），紧扣“治理模式与时代背景的关联”，因此可以拟定“国际社会治理模式的演变深受时代背景影响”的明确论题。阐述，按“维也纳体系时期—冷战时期—冷战后”的时间线分层，结合所学国际格局史实，遵循“时代背景+治理模式特征+形成原因”的结构展开——维也纳体系时期，拿破仑战争后欧洲均势形成，英、俄、普、奥实力均衡，无单一霸主，故形成大国协调模式，通过国际会议协商解决事务，维护欧洲稳定；冷战时期，美苏实力超群、两极对峙，两国在政治、经济、军事领域主导全球，故形成大国掌控国际组织与机制的模式，北约、华约及联合国成为美苏博弈工具；冷战后，全球化加速、新兴国家崛起，美国霸权衰落，多极力量凸显，非国家行为体影响力提升，故出现多极治理、网络化治理，政府间组织更具自主性。最后进行归纳总结，概括治理模式演变的核心驱动力是时代背景与国际力量对比变化，拔高至“治理模式需适配时代发展与全球需求”的历史规律，呼应论题。若其他角度言之成理也可。</w:t>
      </w:r>
    </w:p>
    <w:p w14:paraId="5FE1EAEC">
      <w:pPr>
        <w:shd w:val="clear" w:color="auto" w:fill="auto"/>
        <w:spacing w:line="240" w:lineRule="auto"/>
        <w:jc w:val="left"/>
        <w:textAlignment w:val="center"/>
        <w:rPr>
          <w:rFonts w:hint="eastAsia" w:ascii="楷体" w:hAnsi="楷体" w:eastAsia="楷体" w:cs="楷体"/>
          <w:sz w:val="21"/>
        </w:rPr>
      </w:pPr>
    </w:p>
    <w:sectPr>
      <w:headerReference r:id="rId5" w:type="default"/>
      <w:footerReference r:id="rId7" w:type="default"/>
      <w:headerReference r:id="rId6" w:type="even"/>
      <w:footerReference r:id="rId8"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1BFD4">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AE6E6">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4073">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97064">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8AE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52F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 w:val="09661BBC"/>
    <w:rsid w:val="1CEA4418"/>
    <w:rsid w:val="1E794453"/>
    <w:rsid w:val="2B4C0C31"/>
    <w:rsid w:val="45F12572"/>
    <w:rsid w:val="46D50A98"/>
    <w:rsid w:val="5524795D"/>
    <w:rsid w:val="593D4820"/>
    <w:rsid w:val="5C2949DC"/>
    <w:rsid w:val="64640477"/>
    <w:rsid w:val="7C2A1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cVars>
    <w:docVar w:name="ksoschemedata" w:val="20fc6a68-b007-4023-a513-d4fb0f5df0fd"/>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spacing w:line="360" w:lineRule="auto"/>
      <w:ind w:left="378" w:right="212" w:hanging="378"/>
    </w:pPr>
    <w:rPr>
      <w:rFonts w:ascii="黑体" w:eastAsia="黑体"/>
      <w:b/>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Normal"/>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1754</Words>
  <Characters>1879</Characters>
  <DocSecurity>0</DocSecurity>
  <Lines>0</Lines>
  <Paragraphs>0</Paragraphs>
  <ScaleCrop>false</ScaleCrop>
  <LinksUpToDate>false</LinksUpToDate>
  <CharactersWithSpaces>1986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2026-02-02T06:58:42Z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584c77605f51493dad876e182db9a61bntq5njyxoda4</vt:lpwstr>
  </property>
  <property fmtid="{D5CDD505-2E9C-101B-9397-08002B2CF9AE}" pid="4" name="KSOTemplateDocerSaveRecord">
    <vt:lpwstr>eyJoZGlkIjoiNmE5NDEwODlhODI0NTI5OWUwNDVhYmY3NWZhODY1ZTEiLCJ1c2VySWQiOiIyNzMwNTk3MTYifQ==</vt:lpwstr>
  </property>
  <property fmtid="{D5CDD505-2E9C-101B-9397-08002B2CF9AE}" pid="5" name="KSOProductBuildVer">
    <vt:lpwstr>2052-12.1.0.24657</vt:lpwstr>
  </property>
  <property fmtid="{D5CDD505-2E9C-101B-9397-08002B2CF9AE}" pid="6" name="ICV">
    <vt:lpwstr>86C2C3EE46F440F894BE73789C233E94_12</vt:lpwstr>
  </property>
</Properties>
</file>