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黑体" w:hAnsi="黑体" w:eastAsia="黑体" w:cs="黑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阅读与写作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center"/>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——中学历史教师的“吸”与“呼”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center"/>
        <w:textAlignment w:val="auto"/>
        <w:outlineLvl w:val="9"/>
        <w:rPr>
          <w:rFonts w:hint="eastAsia" w:ascii="黑体" w:hAnsi="黑体" w:eastAsia="黑体" w:cs="黑体"/>
          <w:b/>
          <w:bCs/>
          <w:sz w:val="28"/>
          <w:szCs w:val="28"/>
          <w:lang w:val="en-US" w:eastAsia="zh-CN"/>
        </w:rPr>
      </w:pPr>
      <w:r>
        <w:rPr>
          <w:rFonts w:hint="eastAsia" w:ascii="宋体" w:hAnsi="宋体" w:eastAsia="宋体" w:cs="宋体"/>
          <w:b/>
          <w:bCs/>
          <w:sz w:val="28"/>
          <w:szCs w:val="28"/>
          <w:lang w:val="en-US" w:eastAsia="zh-CN"/>
        </w:rPr>
        <w:t>◎</w:t>
      </w:r>
      <w:r>
        <w:rPr>
          <w:rFonts w:hint="eastAsia" w:ascii="黑体" w:hAnsi="黑体" w:eastAsia="黑体" w:cs="黑体"/>
          <w:b/>
          <w:bCs/>
          <w:sz w:val="28"/>
          <w:szCs w:val="28"/>
          <w:lang w:val="en-US" w:eastAsia="zh-CN"/>
        </w:rPr>
        <w:t>安徽/盛刚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黑体" w:hAnsi="黑体" w:eastAsia="黑体" w:cs="黑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研论文的撰写是中学历史教师必备的基本素养之一，但广大教师空有强烈的写作需求，却苦于“无话可说”，即缺少“素材”意识。怎么办？阅读是有效、便捷的破解之道。中学历史教师囿于时间、精力和自身学识等条件的限制，在素材积累中亟待化解事关“阅读”的四个元问题，即“为什么读”“读什么”“怎样读”和“读后如何转化”。笔者以实例说明之，不当之处，还望方家批评指正。</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一.为什么读？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俞晓鸿指出：“前概念，是存在于人们大脑中基于当前知识的已有认识，它可能是正确的，也可能是模糊的或错误的。前概念分为基础性前概念和即时性前概念。无论在哪一个学习阶段，也无论是对哪一种知识的学习或接受，都存在前概念与教学相冲突的现象。”</w:t>
      </w:r>
      <w:r>
        <w:rPr>
          <w:rFonts w:hint="eastAsia" w:ascii="宋体" w:hAnsi="宋体" w:eastAsia="宋体" w:cs="宋体"/>
          <w:b/>
          <w:bCs/>
          <w:sz w:val="24"/>
          <w:szCs w:val="24"/>
          <w:vertAlign w:val="superscript"/>
          <w:lang w:val="en-US" w:eastAsia="zh-CN"/>
        </w:rPr>
        <w:t>[1]</w:t>
      </w:r>
      <w:r>
        <w:rPr>
          <w:rFonts w:hint="eastAsia" w:ascii="宋体" w:hAnsi="宋体" w:eastAsia="宋体" w:cs="宋体"/>
          <w:b w:val="0"/>
          <w:bCs w:val="0"/>
          <w:sz w:val="24"/>
          <w:szCs w:val="24"/>
          <w:lang w:val="en-US" w:eastAsia="zh-CN"/>
        </w:rPr>
        <w:t>可见，“前概念”直指教学中普遍存在并亟待化解的教学难点，也是有效教学的最佳突破口，理应成为教师专业阅读的起点和支点。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学习人教版选修4第一单元第1课“统一中国的第一个皇帝秦始皇”，探究“秦始皇的功过”时，我班有近30％的学生用“孟姜女哭长城”来佐证秦始皇的“暴政”。我们的疑惑是：民间传说“孟姜女哭长城”能作为“史料”佐证秦始皇的“暴政”吗？虽然我们的第一感觉是“不能”，但“不能”的理由是什么？我们却很难说清楚。民间传说与历史真实之间到底是什么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普通高中历史课程标准（2017年版）》凝练了学科核心素养，更新了教学内容，研制了学业质量标准，提出了“教-学-评”一体化的教学模式。2019年高考全国卷I第26题，以“拔河”民俗入题，与前文疑惑有异曲同工之妙。原题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26．唐代之前，荆楚民间存在一种祈求丰收的“牵钩之戏”，至唐代称作“拔河”，广为流传。唐玄宗《观拔河俗戏》诗云：“壮徒恒贾勇，拔拒抵长河。欲练英雄志，须明胜负多……预期年岁稔，先此乐时和。”据此可知，在唐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A．江南文化成为主流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B．耕战结合观念深入人心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C．阳刚与力量受到推崇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D．诗歌以描写宫廷生活为主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“牵钩之戏”原为春秋战国时期楚军舟师发明的一种“钩强”的战器和军事技能，后从军队的军事演练传到民间，传承至唐朝由于深受皇帝和百姓的喜爱而演变成一种去军事化的民俗活动。</w:t>
      </w:r>
      <w:r>
        <w:rPr>
          <w:rFonts w:hint="eastAsia" w:ascii="宋体" w:hAnsi="宋体" w:eastAsia="宋体" w:cs="宋体"/>
          <w:b/>
          <w:bCs/>
          <w:sz w:val="24"/>
          <w:szCs w:val="24"/>
          <w:vertAlign w:val="superscript"/>
          <w:lang w:val="en-US" w:eastAsia="zh-CN"/>
        </w:rPr>
        <w:t>[2]</w:t>
      </w:r>
      <w:r>
        <w:rPr>
          <w:rFonts w:hint="eastAsia" w:ascii="宋体" w:hAnsi="宋体" w:eastAsia="宋体" w:cs="宋体"/>
          <w:b w:val="0"/>
          <w:bCs w:val="0"/>
          <w:sz w:val="24"/>
          <w:szCs w:val="24"/>
          <w:lang w:val="en-US" w:eastAsia="zh-CN"/>
        </w:rPr>
        <w:t>作为一种人们喜闻乐见的体育活动，隋唐时期拔河的功能是多种多样的。简而言之，其主要具有健体娱乐功能、祈祝丰收功能和国力炫耀功能。</w:t>
      </w:r>
      <w:r>
        <w:rPr>
          <w:rFonts w:hint="eastAsia" w:ascii="宋体" w:hAnsi="宋体" w:eastAsia="宋体" w:cs="宋体"/>
          <w:b/>
          <w:bCs/>
          <w:sz w:val="24"/>
          <w:szCs w:val="24"/>
          <w:vertAlign w:val="superscript"/>
          <w:lang w:val="en-US" w:eastAsia="zh-CN"/>
        </w:rPr>
        <w:t>[3]</w:t>
      </w:r>
      <w:r>
        <w:rPr>
          <w:rFonts w:hint="eastAsia" w:ascii="宋体" w:hAnsi="宋体" w:eastAsia="宋体" w:cs="宋体"/>
          <w:b w:val="0"/>
          <w:bCs w:val="0"/>
          <w:sz w:val="24"/>
          <w:szCs w:val="24"/>
          <w:lang w:val="en-US" w:eastAsia="zh-CN"/>
        </w:rPr>
        <w:t>由是观之，“民俗”与“历史”间的关系确实很难捉摸！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那么，我们中学历史教师到底该如何处理“民俗”与“历史”间的关系呢？带着这些思考，笔者展开了以“孟姜女”为检索词的主题式阅读。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二.读什么？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精心筛选文献是精准阅读的前提和基础，它在一定程度上考量着教师的资源意识和学术判断力，是教师提升自身素养的必由之路。笔者以“中国知网”为检索平台，以“孟姜女”为研究对象，分五个步骤说明之。不当之处，还望方家批评指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第一步，在“中国知网”“主题”栏输入检索词“孟姜女”，文献数为809篇（检索日期为2019年8月3日）。因数量巨大，需要精简；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第二步，在“主题”栏下拉菜单“篇名”，检索文献数490篇。原因同上，需进一步精简；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黑体" w:hAnsi="黑体" w:eastAsia="黑体" w:cs="黑体"/>
          <w:b/>
          <w:bCs/>
          <w:sz w:val="24"/>
          <w:szCs w:val="24"/>
          <w:lang w:val="en-US" w:eastAsia="zh-CN"/>
        </w:rPr>
      </w:pPr>
      <w:r>
        <w:rPr>
          <w:rFonts w:hint="eastAsia" w:ascii="宋体" w:hAnsi="宋体" w:cs="宋体"/>
          <w:b w:val="0"/>
          <w:bCs w:val="0"/>
          <w:sz w:val="24"/>
          <w:szCs w:val="24"/>
          <w:lang w:val="en-US" w:eastAsia="zh-CN"/>
        </w:rPr>
        <w:t>第三步，在“文献类型”下拉菜单“核心文献”，检索文献数59篇，数量适中；“相关度”栏下拉菜单“历史发表”，阅读标题、摘要初步筛选文献；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第四步，回看“篇名”检索489篇文献，阅读标题及摘要，筛选遗漏文献，合并汇总；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eastAsiaTheme="minorEastAsia"/>
          <w:b w:val="0"/>
          <w:bCs w:val="0"/>
          <w:sz w:val="24"/>
          <w:szCs w:val="24"/>
          <w:lang w:val="en-US" w:eastAsia="zh-CN"/>
        </w:rPr>
      </w:pPr>
      <w:r>
        <w:rPr>
          <w:rFonts w:hint="eastAsia" w:ascii="宋体" w:hAnsi="宋体" w:cs="宋体"/>
          <w:b w:val="0"/>
          <w:bCs w:val="0"/>
          <w:sz w:val="24"/>
          <w:szCs w:val="24"/>
          <w:lang w:val="en-US" w:eastAsia="zh-CN"/>
        </w:rPr>
        <w:t>第五步，整理精选文献，按发表时间（从古到今）编号（001；002；</w:t>
      </w:r>
      <w:r>
        <w:rPr>
          <w:rFonts w:hint="default" w:ascii="Arial" w:hAnsi="Arial" w:cs="Arial"/>
          <w:b w:val="0"/>
          <w:bCs w:val="0"/>
          <w:sz w:val="24"/>
          <w:szCs w:val="24"/>
          <w:lang w:val="en-US" w:eastAsia="zh-CN"/>
        </w:rPr>
        <w:t>……</w:t>
      </w:r>
      <w:r>
        <w:rPr>
          <w:rFonts w:hint="eastAsia" w:ascii="宋体" w:hAnsi="宋体" w:cs="宋体"/>
          <w:b w:val="0"/>
          <w:bCs w:val="0"/>
          <w:sz w:val="24"/>
          <w:szCs w:val="24"/>
          <w:lang w:val="en-US" w:eastAsia="zh-CN"/>
        </w:rPr>
        <w:t>）后打印成纸质文本，展开阅读。现精选6篇文献汇总如下（见表1）。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表1 “孟姜女”传说研究文献汇总表（部分）</w:t>
      </w:r>
    </w:p>
    <w:tbl>
      <w:tblPr>
        <w:tblStyle w:val="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010"/>
        <w:gridCol w:w="2358"/>
        <w:gridCol w:w="2802"/>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72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编号</w:t>
            </w:r>
          </w:p>
        </w:tc>
        <w:tc>
          <w:tcPr>
            <w:tcW w:w="101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作者</w:t>
            </w:r>
          </w:p>
        </w:tc>
        <w:tc>
          <w:tcPr>
            <w:tcW w:w="235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标题</w:t>
            </w:r>
          </w:p>
        </w:tc>
        <w:tc>
          <w:tcPr>
            <w:tcW w:w="2802"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出处</w:t>
            </w:r>
          </w:p>
        </w:tc>
        <w:tc>
          <w:tcPr>
            <w:tcW w:w="162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入选依据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72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001</w:t>
            </w:r>
          </w:p>
        </w:tc>
        <w:tc>
          <w:tcPr>
            <w:tcW w:w="10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屈文焜</w:t>
            </w:r>
          </w:p>
        </w:tc>
        <w:tc>
          <w:tcPr>
            <w:tcW w:w="235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两个故事，两种命运——杞梁妻故事与孟姜女故事比较研究</w:t>
            </w:r>
          </w:p>
        </w:tc>
        <w:tc>
          <w:tcPr>
            <w:tcW w:w="280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宁夏大学学报（社会科学版），1992（1）</w:t>
            </w: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观点新颖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rPr>
        <w:tc>
          <w:tcPr>
            <w:tcW w:w="72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002</w:t>
            </w:r>
          </w:p>
        </w:tc>
        <w:tc>
          <w:tcPr>
            <w:tcW w:w="10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丁玲</w:t>
            </w:r>
          </w:p>
        </w:tc>
        <w:tc>
          <w:tcPr>
            <w:tcW w:w="235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《孟姜女》故事的原型批评</w:t>
            </w:r>
          </w:p>
        </w:tc>
        <w:tc>
          <w:tcPr>
            <w:tcW w:w="280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青海民族学院学报（社会科学版），1993（2）</w:t>
            </w: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论文摘要及期刊权威性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72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003</w:t>
            </w:r>
          </w:p>
        </w:tc>
        <w:tc>
          <w:tcPr>
            <w:tcW w:w="10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陈泳超</w:t>
            </w:r>
          </w:p>
        </w:tc>
        <w:tc>
          <w:tcPr>
            <w:tcW w:w="235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顾颉刚关于孟姜女故事研究的方法论解析</w:t>
            </w:r>
          </w:p>
        </w:tc>
        <w:tc>
          <w:tcPr>
            <w:tcW w:w="280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民族艺术，2000（1）</w:t>
            </w: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论文标题及期刊专业性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rPr>
        <w:tc>
          <w:tcPr>
            <w:tcW w:w="72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004</w:t>
            </w:r>
          </w:p>
        </w:tc>
        <w:tc>
          <w:tcPr>
            <w:tcW w:w="10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户晓辉</w:t>
            </w:r>
          </w:p>
        </w:tc>
        <w:tc>
          <w:tcPr>
            <w:tcW w:w="235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论顾颉刚研究孟姜女故事的科学方法</w:t>
            </w:r>
          </w:p>
        </w:tc>
        <w:tc>
          <w:tcPr>
            <w:tcW w:w="280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民族文艺，2003（4）</w:t>
            </w: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被引频次及论文标题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trPr>
        <w:tc>
          <w:tcPr>
            <w:tcW w:w="72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005</w:t>
            </w:r>
          </w:p>
        </w:tc>
        <w:tc>
          <w:tcPr>
            <w:tcW w:w="10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施爱东</w:t>
            </w:r>
          </w:p>
        </w:tc>
        <w:tc>
          <w:tcPr>
            <w:tcW w:w="235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顾颉刚故事学范式回顾与检讨——以“孟姜女故事研究”为中心</w:t>
            </w:r>
          </w:p>
        </w:tc>
        <w:tc>
          <w:tcPr>
            <w:tcW w:w="280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清华华大学学报（哲学社会科学版），2008（2）</w:t>
            </w: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下载频次及期刊权威性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72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006</w:t>
            </w:r>
          </w:p>
        </w:tc>
        <w:tc>
          <w:tcPr>
            <w:tcW w:w="10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刘魁立等</w:t>
            </w:r>
          </w:p>
        </w:tc>
        <w:tc>
          <w:tcPr>
            <w:tcW w:w="235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孟姜女传说的学术价值与现实意义</w:t>
            </w:r>
          </w:p>
        </w:tc>
        <w:tc>
          <w:tcPr>
            <w:tcW w:w="280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民俗研究，2009（3）</w:t>
            </w: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权威学者群文呈现</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三.怎样读？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面对精心筛选的文献，我们可以尝试“精读+问读+链读”的综合阅读模式。具体来说：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第一，精读。所谓精读，就是逐字逐词逐句逐篇的精细化阅读。笔者长期用此种方法阅读《中学历史教学参考》、《历史教学》、《中学历史教学》和《历史教学问题》等期刊，受益良多。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第二，问读。所谓问读，就是以“发现问题+分析问题+解决问题”的思路进行阅读。在进行以“孟姜女”为检索词的文献阅读中，笔者发现杨金桃在《传承·变异——孟姜女传说流变考略》一文“摘要”中指出：“孟姜女传说从春秋时祀梁妻‘不受郊吊'的故事原型到今天耳熟能详的‘孟姜女哭长城’……”。</w:t>
      </w:r>
      <w:r>
        <w:rPr>
          <w:rFonts w:hint="eastAsia" w:ascii="宋体" w:hAnsi="宋体" w:cs="宋体"/>
          <w:b/>
          <w:bCs/>
          <w:sz w:val="24"/>
          <w:szCs w:val="24"/>
          <w:vertAlign w:val="superscript"/>
          <w:lang w:val="en-US" w:eastAsia="zh-CN"/>
        </w:rPr>
        <w:t>[4]</w:t>
      </w:r>
      <w:r>
        <w:rPr>
          <w:rFonts w:hint="eastAsia" w:ascii="宋体" w:hAnsi="宋体" w:cs="宋体"/>
          <w:b w:val="0"/>
          <w:bCs w:val="0"/>
          <w:sz w:val="24"/>
          <w:szCs w:val="24"/>
          <w:lang w:val="en-US" w:eastAsia="zh-CN"/>
        </w:rPr>
        <w:t>该文将其他学者所言之“杞梁妻”写成“祀梁妻”，一字之差，孰对谁错？我们不能以文献的多寡来定对错。但错因何在？笔者揣测为“印刷错误”。于是查阅孟姜女传说研究的开山鼻祖苏州人顾颉刚先生的著述《孟姜女故事研究及其他》，该书有云：孟姜女即《左传》上的“杞梁之妻”。</w:t>
      </w:r>
      <w:r>
        <w:rPr>
          <w:rFonts w:hint="eastAsia" w:ascii="宋体" w:hAnsi="宋体" w:cs="宋体"/>
          <w:b/>
          <w:bCs/>
          <w:sz w:val="24"/>
          <w:szCs w:val="24"/>
          <w:vertAlign w:val="superscript"/>
          <w:lang w:val="en-US" w:eastAsia="zh-CN"/>
        </w:rPr>
        <w:t>[5]</w:t>
      </w:r>
      <w:r>
        <w:rPr>
          <w:rFonts w:hint="eastAsia" w:ascii="宋体" w:hAnsi="宋体" w:cs="宋体"/>
          <w:b w:val="0"/>
          <w:bCs w:val="0"/>
          <w:sz w:val="24"/>
          <w:szCs w:val="24"/>
          <w:lang w:val="en-US" w:eastAsia="zh-CN"/>
        </w:rPr>
        <w:t>权威学者的言论就一定可信吗？笔者顺藤摸瓜，查阅《左传》，得知“祀梁”应为“杞梁”。</w:t>
      </w:r>
      <w:r>
        <w:rPr>
          <w:rFonts w:hint="eastAsia" w:ascii="宋体" w:hAnsi="宋体" w:cs="宋体"/>
          <w:b/>
          <w:bCs/>
          <w:sz w:val="24"/>
          <w:szCs w:val="24"/>
          <w:vertAlign w:val="superscript"/>
          <w:lang w:val="en-US" w:eastAsia="zh-CN"/>
        </w:rPr>
        <w:t>[6]</w:t>
      </w:r>
      <w:r>
        <w:rPr>
          <w:rFonts w:hint="eastAsia" w:ascii="宋体" w:hAnsi="宋体" w:cs="宋体"/>
          <w:b w:val="0"/>
          <w:bCs w:val="0"/>
          <w:sz w:val="24"/>
          <w:szCs w:val="24"/>
          <w:lang w:val="en-US" w:eastAsia="zh-CN"/>
        </w:rPr>
        <w:t>针对阅读中发现的问题，我们既要敢于“假设”，更要善于“求证”，正如胡适先生所言之“大胆假设”“小心求证”。当然，鉴于学识等诸多自身条件的局限，笔者此条考证未必严密，祈求方家不吝赐教。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第三，链读。链读就是以文献标题、作者、关键词、参考文献等为线索的拓展式阅读。在阅读表1中诸文献时，我们必然要链读顾颉刚先生1924年刊载于《歌谣》第69期的经典文献《孟姜女故事的转变》，进读顾炎武《日知录》中关于“孟姜女”故事的几次变革，以及路工、刘宗迪、钟敬文、李福清、饭仓照平等中外学者的相关著述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精读是前提和基础，没有对核心文献的精心品味，就没有深度追问与广博拓展的可能；问读是过程与方法，唯有在精读中练就一双发现问题的慧眼，方有可能探寻到解决问题的基本路径；链读是补充与拓展，它既渗透于精读之中，又贯穿于问读之列，它是深化阅读的必由之路。我们惟有将三者有机联系起来，让它们相辅相成，才能将系统化的主题式阅读进行到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四.读后如何转化？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我们如何将阅读成果转化成写作素材，以切实化解论文撰写中“无话可说”的困境呢？做“阅读札记”不失为明智之举，完整的札记至少需要遵循以下基本原则：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第一，意思完整，尊重原著，不断章取义；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第二，标明具体出处，杜绝任何细节上的错误；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第三，充分考量期刊、作者的权威性与专业性；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第四，具有切实解决问题的效力；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第五，呈现形式为“标题+内容+出处+其他”。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截止撰成该文时，笔者已做好以“孟姜女”为主题的“阅读札记”共计100余条，现精选数例：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outlineLvl w:val="9"/>
        <w:rPr>
          <w:rFonts w:hint="eastAsia" w:ascii="黑体" w:hAnsi="黑体" w:eastAsia="黑体" w:cs="黑体"/>
          <w:b/>
          <w:bCs/>
          <w:lang w:val="en-US" w:eastAsia="zh-CN"/>
        </w:rPr>
      </w:pPr>
      <w:r>
        <w:rPr>
          <w:rFonts w:hint="eastAsia" w:ascii="黑体" w:hAnsi="黑体" w:eastAsia="黑体" w:cs="黑体"/>
          <w:b/>
          <w:bCs/>
          <w:lang w:val="en-US" w:eastAsia="zh-CN"/>
        </w:rPr>
        <w:t>示例1：万里长城与秦始皇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提到万里长城，人们自然会联想到历史上赫赫有名的秦始皇。《淮南子·人间训》说秦筑长城“道路死者以沟量”。《水经注》说：“始皇二十四年，使太子扶苏与蒙恬筑长城……”民歌曰：“生男慎勿举，生女哺用脯，不见长城下，尸骨相支柱。”许多书都极度描写了秦代筑城之苦。唐代诗人王翰更愤怒地写出：“回来饮马长城窟，长城道边多白骨。问之耆老何代人，云是秦王筑城卒。”可见秦筑长城给人民群众造成的苦难是永世难忘的。把北齐（或隋）筑长城附会为秦始皇筑长城，是顺理成章的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——康群.试论孟姜女故事的演变[J].河北学刊，1984（2）：87.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cs="宋体"/>
          <w:b w:val="0"/>
          <w:bCs w:val="0"/>
          <w:sz w:val="24"/>
          <w:szCs w:val="24"/>
          <w:lang w:val="en-US" w:eastAsia="zh-CN"/>
        </w:rPr>
      </w:pPr>
      <w:r>
        <w:rPr>
          <w:rFonts w:hint="eastAsia" w:ascii="楷体" w:hAnsi="楷体" w:eastAsia="楷体" w:cs="楷体"/>
          <w:b w:val="0"/>
          <w:bCs w:val="0"/>
          <w:lang w:val="en-US" w:eastAsia="zh-CN"/>
        </w:rPr>
        <w:t>【疑惑】“生男”民歌到底源于何时？有待于进一步考证。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outlineLvl w:val="9"/>
        <w:rPr>
          <w:rFonts w:hint="eastAsia" w:ascii="黑体" w:hAnsi="黑体" w:eastAsia="黑体" w:cs="黑体"/>
          <w:b/>
          <w:bCs/>
          <w:lang w:val="en-US" w:eastAsia="zh-CN"/>
        </w:rPr>
      </w:pPr>
      <w:r>
        <w:rPr>
          <w:rFonts w:hint="eastAsia" w:ascii="黑体" w:hAnsi="黑体" w:eastAsia="黑体" w:cs="黑体"/>
          <w:b/>
          <w:bCs/>
          <w:lang w:val="en-US" w:eastAsia="zh-CN"/>
        </w:rPr>
        <w:t>示例2：孟姜女故事的基本情节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楷体" w:hAnsi="楷体" w:eastAsia="楷体" w:cs="楷体"/>
          <w:b w:val="0"/>
          <w:bCs w:val="0"/>
          <w:color w:val="000000" w:themeColor="text1"/>
          <w:lang w:val="en-US" w:eastAsia="zh-CN"/>
          <w14:textFill>
            <w14:solidFill>
              <w14:schemeClr w14:val="tx1"/>
            </w14:solidFill>
          </w14:textFill>
        </w:rPr>
      </w:pPr>
      <w:r>
        <w:rPr>
          <w:rFonts w:hint="eastAsia" w:ascii="楷体" w:hAnsi="楷体" w:eastAsia="楷体" w:cs="楷体"/>
          <w:b w:val="0"/>
          <w:bCs w:val="0"/>
          <w:color w:val="000000" w:themeColor="text1"/>
          <w:lang w:val="en-US" w:eastAsia="zh-CN"/>
          <w14:textFill>
            <w14:solidFill>
              <w14:schemeClr w14:val="tx1"/>
            </w14:solidFill>
          </w14:textFill>
        </w:rPr>
        <w:t>孟姜女故事自《左传》所载《杞梁妻》流传到今天已基本定型，情节基本为</w:t>
      </w:r>
      <w:r>
        <w:rPr>
          <w:rFonts w:hint="eastAsia" w:ascii="楷体" w:hAnsi="楷体" w:eastAsia="楷体" w:cs="楷体"/>
          <w:b w:val="0"/>
          <w:bCs w:val="0"/>
          <w:color w:val="000000" w:themeColor="text1"/>
          <w:lang w:val="en-US" w:eastAsia="zh-CN"/>
          <w14:textFill>
            <w14:solidFill>
              <w14:schemeClr w14:val="tx1"/>
            </w14:solidFill>
          </w14:textFill>
        </w:rPr>
        <w:sym w:font="Wingdings" w:char="F081"/>
      </w:r>
      <w:r>
        <w:rPr>
          <w:rFonts w:hint="eastAsia" w:ascii="楷体" w:hAnsi="楷体" w:eastAsia="楷体" w:cs="楷体"/>
          <w:b w:val="0"/>
          <w:bCs w:val="0"/>
          <w:color w:val="000000" w:themeColor="text1"/>
          <w:lang w:val="en-US" w:eastAsia="zh-CN"/>
          <w14:textFill>
            <w14:solidFill>
              <w14:schemeClr w14:val="tx1"/>
            </w14:solidFill>
          </w14:textFill>
        </w:rPr>
        <w:t>筑城；</w:t>
      </w:r>
      <w:r>
        <w:rPr>
          <w:rFonts w:hint="eastAsia" w:ascii="楷体" w:hAnsi="楷体" w:eastAsia="楷体" w:cs="楷体"/>
          <w:b w:val="0"/>
          <w:bCs w:val="0"/>
          <w:color w:val="000000" w:themeColor="text1"/>
          <w:lang w:val="en-US" w:eastAsia="zh-CN"/>
          <w14:textFill>
            <w14:solidFill>
              <w14:schemeClr w14:val="tx1"/>
            </w14:solidFill>
          </w14:textFill>
        </w:rPr>
        <w:sym w:font="Wingdings" w:char="F082"/>
      </w:r>
      <w:r>
        <w:rPr>
          <w:rFonts w:hint="eastAsia" w:ascii="楷体" w:hAnsi="楷体" w:eastAsia="楷体" w:cs="楷体"/>
          <w:b w:val="0"/>
          <w:bCs w:val="0"/>
          <w:color w:val="000000" w:themeColor="text1"/>
          <w:lang w:val="en-US" w:eastAsia="zh-CN"/>
          <w14:textFill>
            <w14:solidFill>
              <w14:schemeClr w14:val="tx1"/>
            </w14:solidFill>
          </w14:textFill>
        </w:rPr>
        <w:t>逃役；</w:t>
      </w:r>
      <w:r>
        <w:rPr>
          <w:rFonts w:hint="eastAsia" w:ascii="楷体" w:hAnsi="楷体" w:eastAsia="楷体" w:cs="楷体"/>
          <w:b w:val="0"/>
          <w:bCs w:val="0"/>
          <w:color w:val="000000" w:themeColor="text1"/>
          <w:lang w:val="en-US" w:eastAsia="zh-CN"/>
          <w14:textFill>
            <w14:solidFill>
              <w14:schemeClr w14:val="tx1"/>
            </w14:solidFill>
          </w14:textFill>
        </w:rPr>
        <w:sym w:font="Wingdings" w:char="F083"/>
      </w:r>
      <w:r>
        <w:rPr>
          <w:rFonts w:hint="eastAsia" w:ascii="楷体" w:hAnsi="楷体" w:eastAsia="楷体" w:cs="楷体"/>
          <w:b w:val="0"/>
          <w:bCs w:val="0"/>
          <w:color w:val="000000" w:themeColor="text1"/>
          <w:lang w:val="en-US" w:eastAsia="zh-CN"/>
          <w14:textFill>
            <w14:solidFill>
              <w14:schemeClr w14:val="tx1"/>
            </w14:solidFill>
          </w14:textFill>
        </w:rPr>
        <w:t>邂逅；</w:t>
      </w:r>
      <w:r>
        <w:rPr>
          <w:rFonts w:hint="eastAsia" w:ascii="楷体" w:hAnsi="楷体" w:eastAsia="楷体" w:cs="楷体"/>
          <w:b w:val="0"/>
          <w:bCs w:val="0"/>
          <w:color w:val="000000" w:themeColor="text1"/>
          <w:lang w:val="en-US" w:eastAsia="zh-CN"/>
          <w14:textFill>
            <w14:solidFill>
              <w14:schemeClr w14:val="tx1"/>
            </w14:solidFill>
          </w14:textFill>
        </w:rPr>
        <w:fldChar w:fldCharType="begin"/>
      </w:r>
      <w:r>
        <w:rPr>
          <w:rFonts w:hint="eastAsia" w:ascii="楷体" w:hAnsi="楷体" w:eastAsia="楷体" w:cs="楷体"/>
          <w:b w:val="0"/>
          <w:bCs w:val="0"/>
          <w:color w:val="000000" w:themeColor="text1"/>
          <w:lang w:val="en-US" w:eastAsia="zh-CN"/>
          <w14:textFill>
            <w14:solidFill>
              <w14:schemeClr w14:val="tx1"/>
            </w14:solidFill>
          </w14:textFill>
        </w:rPr>
        <w:instrText xml:space="preserve"> = 4 \* GB3 \* MERGEFORMAT </w:instrText>
      </w:r>
      <w:r>
        <w:rPr>
          <w:rFonts w:hint="eastAsia" w:ascii="楷体" w:hAnsi="楷体" w:eastAsia="楷体" w:cs="楷体"/>
          <w:b w:val="0"/>
          <w:bCs w:val="0"/>
          <w:color w:val="000000" w:themeColor="text1"/>
          <w:lang w:val="en-US" w:eastAsia="zh-CN"/>
          <w14:textFill>
            <w14:solidFill>
              <w14:schemeClr w14:val="tx1"/>
            </w14:solidFill>
          </w14:textFill>
        </w:rPr>
        <w:fldChar w:fldCharType="separate"/>
      </w:r>
      <w:r>
        <w:rPr>
          <w:rFonts w:hint="eastAsia" w:ascii="楷体" w:hAnsi="楷体" w:eastAsia="楷体" w:cs="楷体"/>
          <w:b w:val="0"/>
          <w:bCs w:val="0"/>
          <w:color w:val="000000" w:themeColor="text1"/>
          <w:lang w:val="en-US" w:eastAsia="zh-CN"/>
          <w14:textFill>
            <w14:solidFill>
              <w14:schemeClr w14:val="tx1"/>
            </w14:solidFill>
          </w14:textFill>
        </w:rPr>
        <w:t>④</w:t>
      </w:r>
      <w:r>
        <w:rPr>
          <w:rFonts w:hint="eastAsia" w:ascii="楷体" w:hAnsi="楷体" w:eastAsia="楷体" w:cs="楷体"/>
          <w:b w:val="0"/>
          <w:bCs w:val="0"/>
          <w:color w:val="000000" w:themeColor="text1"/>
          <w:lang w:val="en-US" w:eastAsia="zh-CN"/>
          <w14:textFill>
            <w14:solidFill>
              <w14:schemeClr w14:val="tx1"/>
            </w14:solidFill>
          </w14:textFill>
        </w:rPr>
        <w:fldChar w:fldCharType="end"/>
      </w:r>
      <w:r>
        <w:rPr>
          <w:rFonts w:hint="eastAsia" w:ascii="楷体" w:hAnsi="楷体" w:eastAsia="楷体" w:cs="楷体"/>
          <w:b w:val="0"/>
          <w:bCs w:val="0"/>
          <w:color w:val="000000" w:themeColor="text1"/>
          <w:lang w:val="en-US" w:eastAsia="zh-CN"/>
          <w14:textFill>
            <w14:solidFill>
              <w14:schemeClr w14:val="tx1"/>
            </w14:solidFill>
          </w14:textFill>
        </w:rPr>
        <w:t>结婚；</w:t>
      </w:r>
      <w:r>
        <w:rPr>
          <w:rFonts w:hint="eastAsia" w:ascii="楷体" w:hAnsi="楷体" w:eastAsia="楷体" w:cs="楷体"/>
          <w:b w:val="0"/>
          <w:bCs w:val="0"/>
          <w:color w:val="000000" w:themeColor="text1"/>
          <w:lang w:val="en-US" w:eastAsia="zh-CN"/>
          <w14:textFill>
            <w14:solidFill>
              <w14:schemeClr w14:val="tx1"/>
            </w14:solidFill>
          </w14:textFill>
        </w:rPr>
        <w:fldChar w:fldCharType="begin"/>
      </w:r>
      <w:r>
        <w:rPr>
          <w:rFonts w:hint="eastAsia" w:ascii="楷体" w:hAnsi="楷体" w:eastAsia="楷体" w:cs="楷体"/>
          <w:b w:val="0"/>
          <w:bCs w:val="0"/>
          <w:color w:val="000000" w:themeColor="text1"/>
          <w:lang w:val="en-US" w:eastAsia="zh-CN"/>
          <w14:textFill>
            <w14:solidFill>
              <w14:schemeClr w14:val="tx1"/>
            </w14:solidFill>
          </w14:textFill>
        </w:rPr>
        <w:instrText xml:space="preserve"> = 5 \* GB3 \* MERGEFORMAT </w:instrText>
      </w:r>
      <w:r>
        <w:rPr>
          <w:rFonts w:hint="eastAsia" w:ascii="楷体" w:hAnsi="楷体" w:eastAsia="楷体" w:cs="楷体"/>
          <w:b w:val="0"/>
          <w:bCs w:val="0"/>
          <w:color w:val="000000" w:themeColor="text1"/>
          <w:lang w:val="en-US" w:eastAsia="zh-CN"/>
          <w14:textFill>
            <w14:solidFill>
              <w14:schemeClr w14:val="tx1"/>
            </w14:solidFill>
          </w14:textFill>
        </w:rPr>
        <w:fldChar w:fldCharType="separate"/>
      </w:r>
      <w:r>
        <w:rPr>
          <w:rFonts w:hint="eastAsia" w:ascii="楷体" w:hAnsi="楷体" w:eastAsia="楷体" w:cs="楷体"/>
          <w:b w:val="0"/>
          <w:bCs w:val="0"/>
          <w:color w:val="000000" w:themeColor="text1"/>
          <w:lang w:val="en-US" w:eastAsia="zh-CN"/>
          <w14:textFill>
            <w14:solidFill>
              <w14:schemeClr w14:val="tx1"/>
            </w14:solidFill>
          </w14:textFill>
        </w:rPr>
        <w:t>⑤</w:t>
      </w:r>
      <w:r>
        <w:rPr>
          <w:rFonts w:hint="eastAsia" w:ascii="楷体" w:hAnsi="楷体" w:eastAsia="楷体" w:cs="楷体"/>
          <w:b w:val="0"/>
          <w:bCs w:val="0"/>
          <w:color w:val="000000" w:themeColor="text1"/>
          <w:lang w:val="en-US" w:eastAsia="zh-CN"/>
          <w14:textFill>
            <w14:solidFill>
              <w14:schemeClr w14:val="tx1"/>
            </w14:solidFill>
          </w14:textFill>
        </w:rPr>
        <w:fldChar w:fldCharType="end"/>
      </w:r>
      <w:r>
        <w:rPr>
          <w:rFonts w:hint="eastAsia" w:ascii="楷体" w:hAnsi="楷体" w:eastAsia="楷体" w:cs="楷体"/>
          <w:b w:val="0"/>
          <w:bCs w:val="0"/>
          <w:color w:val="000000" w:themeColor="text1"/>
          <w:lang w:val="en-US" w:eastAsia="zh-CN"/>
          <w14:textFill>
            <w14:solidFill>
              <w14:schemeClr w14:val="tx1"/>
            </w14:solidFill>
          </w14:textFill>
        </w:rPr>
        <w:t>被捕；</w:t>
      </w:r>
      <w:r>
        <w:rPr>
          <w:rFonts w:hint="eastAsia" w:ascii="楷体" w:hAnsi="楷体" w:eastAsia="楷体" w:cs="楷体"/>
          <w:b w:val="0"/>
          <w:bCs w:val="0"/>
          <w:color w:val="000000" w:themeColor="text1"/>
          <w:lang w:val="en-US" w:eastAsia="zh-CN"/>
          <w14:textFill>
            <w14:solidFill>
              <w14:schemeClr w14:val="tx1"/>
            </w14:solidFill>
          </w14:textFill>
        </w:rPr>
        <w:fldChar w:fldCharType="begin"/>
      </w:r>
      <w:r>
        <w:rPr>
          <w:rFonts w:hint="eastAsia" w:ascii="楷体" w:hAnsi="楷体" w:eastAsia="楷体" w:cs="楷体"/>
          <w:b w:val="0"/>
          <w:bCs w:val="0"/>
          <w:color w:val="000000" w:themeColor="text1"/>
          <w:lang w:val="en-US" w:eastAsia="zh-CN"/>
          <w14:textFill>
            <w14:solidFill>
              <w14:schemeClr w14:val="tx1"/>
            </w14:solidFill>
          </w14:textFill>
        </w:rPr>
        <w:instrText xml:space="preserve"> = 6 \* GB3 \* MERGEFORMAT </w:instrText>
      </w:r>
      <w:r>
        <w:rPr>
          <w:rFonts w:hint="eastAsia" w:ascii="楷体" w:hAnsi="楷体" w:eastAsia="楷体" w:cs="楷体"/>
          <w:b w:val="0"/>
          <w:bCs w:val="0"/>
          <w:color w:val="000000" w:themeColor="text1"/>
          <w:lang w:val="en-US" w:eastAsia="zh-CN"/>
          <w14:textFill>
            <w14:solidFill>
              <w14:schemeClr w14:val="tx1"/>
            </w14:solidFill>
          </w14:textFill>
        </w:rPr>
        <w:fldChar w:fldCharType="separate"/>
      </w:r>
      <w:r>
        <w:rPr>
          <w:rFonts w:hint="eastAsia" w:ascii="楷体" w:hAnsi="楷体" w:eastAsia="楷体" w:cs="楷体"/>
          <w:b w:val="0"/>
          <w:bCs w:val="0"/>
          <w:color w:val="000000" w:themeColor="text1"/>
          <w:lang w:val="en-US" w:eastAsia="zh-CN"/>
          <w14:textFill>
            <w14:solidFill>
              <w14:schemeClr w14:val="tx1"/>
            </w14:solidFill>
          </w14:textFill>
        </w:rPr>
        <w:t>⑥</w:t>
      </w:r>
      <w:r>
        <w:rPr>
          <w:rFonts w:hint="eastAsia" w:ascii="楷体" w:hAnsi="楷体" w:eastAsia="楷体" w:cs="楷体"/>
          <w:b w:val="0"/>
          <w:bCs w:val="0"/>
          <w:color w:val="000000" w:themeColor="text1"/>
          <w:lang w:val="en-US" w:eastAsia="zh-CN"/>
          <w14:textFill>
            <w14:solidFill>
              <w14:schemeClr w14:val="tx1"/>
            </w14:solidFill>
          </w14:textFill>
        </w:rPr>
        <w:fldChar w:fldCharType="end"/>
      </w:r>
      <w:r>
        <w:rPr>
          <w:rFonts w:hint="eastAsia" w:ascii="楷体" w:hAnsi="楷体" w:eastAsia="楷体" w:cs="楷体"/>
          <w:b w:val="0"/>
          <w:bCs w:val="0"/>
          <w:color w:val="000000" w:themeColor="text1"/>
          <w:lang w:val="en-US" w:eastAsia="zh-CN"/>
          <w14:textFill>
            <w14:solidFill>
              <w14:schemeClr w14:val="tx1"/>
            </w14:solidFill>
          </w14:textFill>
        </w:rPr>
        <w:t>寻夫；</w:t>
      </w:r>
      <w:r>
        <w:rPr>
          <w:rFonts w:hint="eastAsia" w:ascii="楷体" w:hAnsi="楷体" w:eastAsia="楷体" w:cs="楷体"/>
          <w:b w:val="0"/>
          <w:bCs w:val="0"/>
          <w:color w:val="000000" w:themeColor="text1"/>
          <w:lang w:val="en-US" w:eastAsia="zh-CN"/>
          <w14:textFill>
            <w14:solidFill>
              <w14:schemeClr w14:val="tx1"/>
            </w14:solidFill>
          </w14:textFill>
        </w:rPr>
        <w:fldChar w:fldCharType="begin"/>
      </w:r>
      <w:r>
        <w:rPr>
          <w:rFonts w:hint="eastAsia" w:ascii="楷体" w:hAnsi="楷体" w:eastAsia="楷体" w:cs="楷体"/>
          <w:b w:val="0"/>
          <w:bCs w:val="0"/>
          <w:color w:val="000000" w:themeColor="text1"/>
          <w:lang w:val="en-US" w:eastAsia="zh-CN"/>
          <w14:textFill>
            <w14:solidFill>
              <w14:schemeClr w14:val="tx1"/>
            </w14:solidFill>
          </w14:textFill>
        </w:rPr>
        <w:instrText xml:space="preserve"> = 7 \* GB3 \* MERGEFORMAT </w:instrText>
      </w:r>
      <w:r>
        <w:rPr>
          <w:rFonts w:hint="eastAsia" w:ascii="楷体" w:hAnsi="楷体" w:eastAsia="楷体" w:cs="楷体"/>
          <w:b w:val="0"/>
          <w:bCs w:val="0"/>
          <w:color w:val="000000" w:themeColor="text1"/>
          <w:lang w:val="en-US" w:eastAsia="zh-CN"/>
          <w14:textFill>
            <w14:solidFill>
              <w14:schemeClr w14:val="tx1"/>
            </w14:solidFill>
          </w14:textFill>
        </w:rPr>
        <w:fldChar w:fldCharType="separate"/>
      </w:r>
      <w:r>
        <w:rPr>
          <w:rFonts w:hint="eastAsia" w:ascii="楷体" w:hAnsi="楷体" w:eastAsia="楷体" w:cs="楷体"/>
          <w:b w:val="0"/>
          <w:bCs w:val="0"/>
          <w:color w:val="000000" w:themeColor="text1"/>
          <w:lang w:val="en-US" w:eastAsia="zh-CN"/>
          <w14:textFill>
            <w14:solidFill>
              <w14:schemeClr w14:val="tx1"/>
            </w14:solidFill>
          </w14:textFill>
        </w:rPr>
        <w:t>⑦</w:t>
      </w:r>
      <w:r>
        <w:rPr>
          <w:rFonts w:hint="eastAsia" w:ascii="楷体" w:hAnsi="楷体" w:eastAsia="楷体" w:cs="楷体"/>
          <w:b w:val="0"/>
          <w:bCs w:val="0"/>
          <w:color w:val="000000" w:themeColor="text1"/>
          <w:lang w:val="en-US" w:eastAsia="zh-CN"/>
          <w14:textFill>
            <w14:solidFill>
              <w14:schemeClr w14:val="tx1"/>
            </w14:solidFill>
          </w14:textFill>
        </w:rPr>
        <w:fldChar w:fldCharType="end"/>
      </w:r>
      <w:r>
        <w:rPr>
          <w:rFonts w:hint="eastAsia" w:ascii="楷体" w:hAnsi="楷体" w:eastAsia="楷体" w:cs="楷体"/>
          <w:b w:val="0"/>
          <w:bCs w:val="0"/>
          <w:color w:val="000000" w:themeColor="text1"/>
          <w:lang w:val="en-US" w:eastAsia="zh-CN"/>
          <w14:textFill>
            <w14:solidFill>
              <w14:schemeClr w14:val="tx1"/>
            </w14:solidFill>
          </w14:textFill>
        </w:rPr>
        <w:t>哭夫；</w:t>
      </w:r>
      <w:r>
        <w:rPr>
          <w:rFonts w:hint="eastAsia" w:ascii="楷体" w:hAnsi="楷体" w:eastAsia="楷体" w:cs="楷体"/>
          <w:b w:val="0"/>
          <w:bCs w:val="0"/>
          <w:color w:val="000000" w:themeColor="text1"/>
          <w:lang w:val="en-US" w:eastAsia="zh-CN"/>
          <w14:textFill>
            <w14:solidFill>
              <w14:schemeClr w14:val="tx1"/>
            </w14:solidFill>
          </w14:textFill>
        </w:rPr>
        <w:fldChar w:fldCharType="begin"/>
      </w:r>
      <w:r>
        <w:rPr>
          <w:rFonts w:hint="eastAsia" w:ascii="楷体" w:hAnsi="楷体" w:eastAsia="楷体" w:cs="楷体"/>
          <w:b w:val="0"/>
          <w:bCs w:val="0"/>
          <w:color w:val="000000" w:themeColor="text1"/>
          <w:lang w:val="en-US" w:eastAsia="zh-CN"/>
          <w14:textFill>
            <w14:solidFill>
              <w14:schemeClr w14:val="tx1"/>
            </w14:solidFill>
          </w14:textFill>
        </w:rPr>
        <w:instrText xml:space="preserve"> = 8 \* GB3 \* MERGEFORMAT </w:instrText>
      </w:r>
      <w:r>
        <w:rPr>
          <w:rFonts w:hint="eastAsia" w:ascii="楷体" w:hAnsi="楷体" w:eastAsia="楷体" w:cs="楷体"/>
          <w:b w:val="0"/>
          <w:bCs w:val="0"/>
          <w:color w:val="000000" w:themeColor="text1"/>
          <w:lang w:val="en-US" w:eastAsia="zh-CN"/>
          <w14:textFill>
            <w14:solidFill>
              <w14:schemeClr w14:val="tx1"/>
            </w14:solidFill>
          </w14:textFill>
        </w:rPr>
        <w:fldChar w:fldCharType="separate"/>
      </w:r>
      <w:r>
        <w:rPr>
          <w:rFonts w:hint="eastAsia" w:ascii="楷体" w:hAnsi="楷体" w:eastAsia="楷体" w:cs="楷体"/>
          <w:b w:val="0"/>
          <w:bCs w:val="0"/>
          <w:color w:val="000000" w:themeColor="text1"/>
          <w:lang w:val="en-US" w:eastAsia="zh-CN"/>
          <w14:textFill>
            <w14:solidFill>
              <w14:schemeClr w14:val="tx1"/>
            </w14:solidFill>
          </w14:textFill>
        </w:rPr>
        <w:t>⑧</w:t>
      </w:r>
      <w:r>
        <w:rPr>
          <w:rFonts w:hint="eastAsia" w:ascii="楷体" w:hAnsi="楷体" w:eastAsia="楷体" w:cs="楷体"/>
          <w:b w:val="0"/>
          <w:bCs w:val="0"/>
          <w:color w:val="000000" w:themeColor="text1"/>
          <w:lang w:val="en-US" w:eastAsia="zh-CN"/>
          <w14:textFill>
            <w14:solidFill>
              <w14:schemeClr w14:val="tx1"/>
            </w14:solidFill>
          </w14:textFill>
        </w:rPr>
        <w:fldChar w:fldCharType="end"/>
      </w:r>
      <w:r>
        <w:rPr>
          <w:rFonts w:hint="eastAsia" w:ascii="楷体" w:hAnsi="楷体" w:eastAsia="楷体" w:cs="楷体"/>
          <w:b w:val="0"/>
          <w:bCs w:val="0"/>
          <w:color w:val="000000" w:themeColor="text1"/>
          <w:lang w:val="en-US" w:eastAsia="zh-CN"/>
          <w14:textFill>
            <w14:solidFill>
              <w14:schemeClr w14:val="tx1"/>
            </w14:solidFill>
          </w14:textFill>
        </w:rPr>
        <w:t>崩城；</w:t>
      </w:r>
      <w:r>
        <w:rPr>
          <w:rFonts w:hint="eastAsia" w:ascii="楷体" w:hAnsi="楷体" w:eastAsia="楷体" w:cs="楷体"/>
          <w:b w:val="0"/>
          <w:bCs w:val="0"/>
          <w:color w:val="000000" w:themeColor="text1"/>
          <w:lang w:val="en-US" w:eastAsia="zh-CN"/>
          <w14:textFill>
            <w14:solidFill>
              <w14:schemeClr w14:val="tx1"/>
            </w14:solidFill>
          </w14:textFill>
        </w:rPr>
        <w:fldChar w:fldCharType="begin"/>
      </w:r>
      <w:r>
        <w:rPr>
          <w:rFonts w:hint="eastAsia" w:ascii="楷体" w:hAnsi="楷体" w:eastAsia="楷体" w:cs="楷体"/>
          <w:b w:val="0"/>
          <w:bCs w:val="0"/>
          <w:color w:val="000000" w:themeColor="text1"/>
          <w:lang w:val="en-US" w:eastAsia="zh-CN"/>
          <w14:textFill>
            <w14:solidFill>
              <w14:schemeClr w14:val="tx1"/>
            </w14:solidFill>
          </w14:textFill>
        </w:rPr>
        <w:instrText xml:space="preserve"> = 9 \* GB3 \* MERGEFORMAT </w:instrText>
      </w:r>
      <w:r>
        <w:rPr>
          <w:rFonts w:hint="eastAsia" w:ascii="楷体" w:hAnsi="楷体" w:eastAsia="楷体" w:cs="楷体"/>
          <w:b w:val="0"/>
          <w:bCs w:val="0"/>
          <w:color w:val="000000" w:themeColor="text1"/>
          <w:lang w:val="en-US" w:eastAsia="zh-CN"/>
          <w14:textFill>
            <w14:solidFill>
              <w14:schemeClr w14:val="tx1"/>
            </w14:solidFill>
          </w14:textFill>
        </w:rPr>
        <w:fldChar w:fldCharType="separate"/>
      </w:r>
      <w:r>
        <w:rPr>
          <w:rFonts w:hint="eastAsia" w:ascii="楷体" w:hAnsi="楷体" w:eastAsia="楷体" w:cs="楷体"/>
          <w:b w:val="0"/>
          <w:bCs w:val="0"/>
          <w:color w:val="000000" w:themeColor="text1"/>
          <w:lang w:val="en-US" w:eastAsia="zh-CN"/>
          <w14:textFill>
            <w14:solidFill>
              <w14:schemeClr w14:val="tx1"/>
            </w14:solidFill>
          </w14:textFill>
        </w:rPr>
        <w:t>⑨</w:t>
      </w:r>
      <w:r>
        <w:rPr>
          <w:rFonts w:hint="eastAsia" w:ascii="楷体" w:hAnsi="楷体" w:eastAsia="楷体" w:cs="楷体"/>
          <w:b w:val="0"/>
          <w:bCs w:val="0"/>
          <w:color w:val="000000" w:themeColor="text1"/>
          <w:lang w:val="en-US" w:eastAsia="zh-CN"/>
          <w14:textFill>
            <w14:solidFill>
              <w14:schemeClr w14:val="tx1"/>
            </w14:solidFill>
          </w14:textFill>
        </w:rPr>
        <w:fldChar w:fldCharType="end"/>
      </w:r>
      <w:r>
        <w:rPr>
          <w:rFonts w:hint="eastAsia" w:ascii="楷体" w:hAnsi="楷体" w:eastAsia="楷体" w:cs="楷体"/>
          <w:b w:val="0"/>
          <w:bCs w:val="0"/>
          <w:color w:val="000000" w:themeColor="text1"/>
          <w:lang w:val="en-US" w:eastAsia="zh-CN"/>
          <w14:textFill>
            <w14:solidFill>
              <w14:schemeClr w14:val="tx1"/>
            </w14:solidFill>
          </w14:textFill>
        </w:rPr>
        <w:t>逼婚；</w:t>
      </w:r>
      <w:r>
        <w:rPr>
          <w:rFonts w:hint="eastAsia" w:ascii="楷体" w:hAnsi="楷体" w:eastAsia="楷体" w:cs="楷体"/>
          <w:b w:val="0"/>
          <w:bCs w:val="0"/>
          <w:color w:val="000000" w:themeColor="text1"/>
          <w:lang w:val="en-US" w:eastAsia="zh-CN"/>
          <w14:textFill>
            <w14:solidFill>
              <w14:schemeClr w14:val="tx1"/>
            </w14:solidFill>
          </w14:textFill>
        </w:rPr>
        <w:fldChar w:fldCharType="begin"/>
      </w:r>
      <w:r>
        <w:rPr>
          <w:rFonts w:hint="eastAsia" w:ascii="楷体" w:hAnsi="楷体" w:eastAsia="楷体" w:cs="楷体"/>
          <w:b w:val="0"/>
          <w:bCs w:val="0"/>
          <w:color w:val="000000" w:themeColor="text1"/>
          <w:lang w:val="en-US" w:eastAsia="zh-CN"/>
          <w14:textFill>
            <w14:solidFill>
              <w14:schemeClr w14:val="tx1"/>
            </w14:solidFill>
          </w14:textFill>
        </w:rPr>
        <w:instrText xml:space="preserve"> = 10 \* GB3 \* MERGEFORMAT </w:instrText>
      </w:r>
      <w:r>
        <w:rPr>
          <w:rFonts w:hint="eastAsia" w:ascii="楷体" w:hAnsi="楷体" w:eastAsia="楷体" w:cs="楷体"/>
          <w:b w:val="0"/>
          <w:bCs w:val="0"/>
          <w:color w:val="000000" w:themeColor="text1"/>
          <w:lang w:val="en-US" w:eastAsia="zh-CN"/>
          <w14:textFill>
            <w14:solidFill>
              <w14:schemeClr w14:val="tx1"/>
            </w14:solidFill>
          </w14:textFill>
        </w:rPr>
        <w:fldChar w:fldCharType="separate"/>
      </w:r>
      <w:r>
        <w:rPr>
          <w:rFonts w:hint="eastAsia" w:ascii="楷体" w:hAnsi="楷体" w:eastAsia="楷体" w:cs="楷体"/>
          <w:b w:val="0"/>
          <w:bCs w:val="0"/>
          <w:color w:val="000000" w:themeColor="text1"/>
          <w:lang w:val="en-US" w:eastAsia="zh-CN"/>
          <w14:textFill>
            <w14:solidFill>
              <w14:schemeClr w14:val="tx1"/>
            </w14:solidFill>
          </w14:textFill>
        </w:rPr>
        <w:t>⑩</w:t>
      </w:r>
      <w:r>
        <w:rPr>
          <w:rFonts w:hint="eastAsia" w:ascii="楷体" w:hAnsi="楷体" w:eastAsia="楷体" w:cs="楷体"/>
          <w:b w:val="0"/>
          <w:bCs w:val="0"/>
          <w:color w:val="000000" w:themeColor="text1"/>
          <w:lang w:val="en-US" w:eastAsia="zh-CN"/>
          <w14:textFill>
            <w14:solidFill>
              <w14:schemeClr w14:val="tx1"/>
            </w14:solidFill>
          </w14:textFill>
        </w:rPr>
        <w:fldChar w:fldCharType="end"/>
      </w:r>
      <w:r>
        <w:rPr>
          <w:rFonts w:hint="eastAsia" w:ascii="楷体" w:hAnsi="楷体" w:eastAsia="楷体" w:cs="楷体"/>
          <w:b w:val="0"/>
          <w:bCs w:val="0"/>
          <w:color w:val="000000" w:themeColor="text1"/>
          <w:lang w:val="en-US" w:eastAsia="zh-CN"/>
          <w14:textFill>
            <w14:solidFill>
              <w14:schemeClr w14:val="tx1"/>
            </w14:solidFill>
          </w14:textFill>
        </w:rPr>
        <w:t>智斗始皇；</w:t>
      </w:r>
      <w:r>
        <w:rPr>
          <w:rFonts w:hint="eastAsia" w:ascii="楷体" w:hAnsi="楷体" w:eastAsia="楷体" w:cs="楷体"/>
          <w:b w:val="0"/>
          <w:bCs w:val="0"/>
          <w:color w:val="000000" w:themeColor="text1"/>
          <w:lang w:val="en-US" w:eastAsia="zh-CN"/>
          <w14:textFill>
            <w14:solidFill>
              <w14:schemeClr w14:val="tx1"/>
            </w14:solidFill>
          </w14:textFill>
        </w:rPr>
        <w:fldChar w:fldCharType="begin"/>
      </w:r>
      <w:r>
        <w:rPr>
          <w:rFonts w:hint="eastAsia" w:ascii="楷体" w:hAnsi="楷体" w:eastAsia="楷体" w:cs="楷体"/>
          <w:b w:val="0"/>
          <w:bCs w:val="0"/>
          <w:color w:val="000000" w:themeColor="text1"/>
          <w:lang w:val="en-US" w:eastAsia="zh-CN"/>
          <w14:textFill>
            <w14:solidFill>
              <w14:schemeClr w14:val="tx1"/>
            </w14:solidFill>
          </w14:textFill>
        </w:rPr>
        <w:instrText xml:space="preserve"> EQ \o\ac(○,11)</w:instrText>
      </w:r>
      <w:r>
        <w:rPr>
          <w:rFonts w:hint="eastAsia" w:ascii="楷体" w:hAnsi="楷体" w:eastAsia="楷体" w:cs="楷体"/>
          <w:b w:val="0"/>
          <w:bCs w:val="0"/>
          <w:color w:val="000000" w:themeColor="text1"/>
          <w:lang w:val="en-US" w:eastAsia="zh-CN"/>
          <w14:textFill>
            <w14:solidFill>
              <w14:schemeClr w14:val="tx1"/>
            </w14:solidFill>
          </w14:textFill>
        </w:rPr>
        <w:fldChar w:fldCharType="end"/>
      </w:r>
      <w:r>
        <w:rPr>
          <w:rFonts w:hint="eastAsia" w:ascii="楷体" w:hAnsi="楷体" w:eastAsia="楷体" w:cs="楷体"/>
          <w:b w:val="0"/>
          <w:bCs w:val="0"/>
          <w:color w:val="000000" w:themeColor="text1"/>
          <w:lang w:val="en-US" w:eastAsia="zh-CN"/>
          <w14:textFill>
            <w14:solidFill>
              <w14:schemeClr w14:val="tx1"/>
            </w14:solidFill>
          </w14:textFill>
        </w:rPr>
        <w:t>跳水殉节。美丽、品质优良的、纯洁的人都面临过灾难，都在抗争后跳进水中结束生命的模式，就是孟姜女故事与其它作品所共同具有的一个“母题”。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楷体" w:hAnsi="楷体" w:eastAsia="楷体" w:cs="楷体"/>
          <w:b w:val="0"/>
          <w:bCs w:val="0"/>
          <w:color w:val="000000" w:themeColor="text1"/>
          <w:lang w:val="en-US" w:eastAsia="zh-CN"/>
          <w14:textFill>
            <w14:solidFill>
              <w14:schemeClr w14:val="tx1"/>
            </w14:solidFill>
          </w14:textFill>
        </w:rPr>
      </w:pPr>
      <w:r>
        <w:rPr>
          <w:rFonts w:hint="eastAsia" w:ascii="楷体" w:hAnsi="楷体" w:eastAsia="楷体" w:cs="楷体"/>
          <w:b w:val="0"/>
          <w:bCs w:val="0"/>
          <w:color w:val="000000" w:themeColor="text1"/>
          <w:lang w:val="en-US" w:eastAsia="zh-CN"/>
          <w14:textFill>
            <w14:solidFill>
              <w14:schemeClr w14:val="tx1"/>
            </w14:solidFill>
          </w14:textFill>
        </w:rPr>
        <w:t>——丁玲.《孟姜女》故事的原型批评[J].青海民族学院学报（社会科学版），1993（2）:98.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楷体" w:hAnsi="楷体" w:eastAsia="楷体" w:cs="楷体"/>
          <w:b w:val="0"/>
          <w:bCs w:val="0"/>
          <w:color w:val="000000" w:themeColor="text1"/>
          <w:lang w:val="en-US" w:eastAsia="zh-CN"/>
          <w14:textFill>
            <w14:solidFill>
              <w14:schemeClr w14:val="tx1"/>
            </w14:solidFill>
          </w14:textFill>
        </w:rPr>
      </w:pPr>
      <w:r>
        <w:rPr>
          <w:rFonts w:hint="eastAsia" w:ascii="楷体" w:hAnsi="楷体" w:eastAsia="楷体" w:cs="楷体"/>
          <w:b w:val="0"/>
          <w:bCs w:val="0"/>
          <w:color w:val="000000" w:themeColor="text1"/>
          <w:lang w:val="en-US" w:eastAsia="zh-CN"/>
          <w14:textFill>
            <w14:solidFill>
              <w14:schemeClr w14:val="tx1"/>
            </w14:solidFill>
          </w14:textFill>
        </w:rPr>
        <w:t>【启示】“母题”是民间传说的溯源式研究路径之一，可尝试运用此类方法释读“白蛇传”等民间传说。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outlineLvl w:val="9"/>
        <w:rPr>
          <w:rFonts w:hint="eastAsia" w:ascii="黑体" w:hAnsi="黑体" w:eastAsia="黑体" w:cs="黑体"/>
          <w:b/>
          <w:bCs/>
          <w:lang w:val="en-US" w:eastAsia="zh-CN"/>
        </w:rPr>
      </w:pPr>
      <w:r>
        <w:rPr>
          <w:rFonts w:hint="eastAsia" w:ascii="黑体" w:hAnsi="黑体" w:eastAsia="黑体" w:cs="黑体"/>
          <w:b/>
          <w:bCs/>
          <w:lang w:val="en-US" w:eastAsia="zh-CN"/>
        </w:rPr>
        <w:t>示例3：顾颉刚孟姜女姓名考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关于“孟姜”一名的由来，顾先生首先考证出此名作为杞梁之妻的姓名最早出现于《孟子疏》，为什么到了南宋才用呢？他引用《诗经》、姚际恒《诗经通论》、汉诗《陇西行》、曹植《妾薄命行》等来说明“孟姜”一词何以由私名到美女的通称，再回复到私名的情况。对一个小小的名字问题，顾先生却不惜笔墨来详细考辨源流，表现出卓越的考证才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——史建桥.论顾颉刚研究孟姜女故事的方法[J].贵州文史论丛，2005（3）：33.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楷体" w:hAnsi="楷体" w:eastAsia="楷体" w:cs="楷体"/>
          <w:b w:val="0"/>
          <w:bCs w:val="0"/>
          <w:color w:val="000000" w:themeColor="text1"/>
          <w:lang w:val="en-US" w:eastAsia="zh-CN"/>
          <w14:textFill>
            <w14:solidFill>
              <w14:schemeClr w14:val="tx1"/>
            </w14:solidFill>
          </w14:textFill>
        </w:rPr>
      </w:pPr>
      <w:r>
        <w:rPr>
          <w:rFonts w:hint="eastAsia" w:ascii="楷体" w:hAnsi="楷体" w:eastAsia="楷体" w:cs="楷体"/>
          <w:b w:val="0"/>
          <w:bCs w:val="0"/>
          <w:lang w:val="en-US" w:eastAsia="zh-CN"/>
        </w:rPr>
        <w:t>【收获】学问无小事，事事需谨心。大师们如此精细，我们怎能不谨心？！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outlineLvl w:val="9"/>
        <w:rPr>
          <w:rFonts w:hint="eastAsia" w:ascii="黑体" w:hAnsi="黑体" w:eastAsia="黑体" w:cs="黑体"/>
          <w:b/>
          <w:bCs/>
          <w:lang w:val="en-US" w:eastAsia="zh-CN"/>
        </w:rPr>
      </w:pPr>
      <w:r>
        <w:rPr>
          <w:rFonts w:hint="eastAsia" w:ascii="黑体" w:hAnsi="黑体" w:eastAsia="黑体" w:cs="黑体"/>
          <w:b/>
          <w:bCs/>
          <w:color w:val="000000" w:themeColor="text1"/>
          <w:lang w:val="en-US" w:eastAsia="zh-CN"/>
          <w14:textFill>
            <w14:solidFill>
              <w14:schemeClr w14:val="tx1"/>
            </w14:solidFill>
          </w14:textFill>
        </w:rPr>
        <w:t>示例4：</w:t>
      </w:r>
      <w:r>
        <w:rPr>
          <w:rFonts w:hint="eastAsia" w:ascii="黑体" w:hAnsi="黑体" w:eastAsia="黑体" w:cs="黑体"/>
          <w:b/>
          <w:bCs/>
          <w:lang w:val="en-US" w:eastAsia="zh-CN"/>
        </w:rPr>
        <w:t>时空视域下的孟姜女故事研究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楷体" w:hAnsi="楷体" w:eastAsia="楷体" w:cs="楷体"/>
          <w:b w:val="0"/>
          <w:bCs w:val="0"/>
          <w:color w:val="000000" w:themeColor="text1"/>
          <w:lang w:val="en-US" w:eastAsia="zh-CN"/>
          <w14:textFill>
            <w14:solidFill>
              <w14:schemeClr w14:val="tx1"/>
            </w14:solidFill>
          </w14:textFill>
        </w:rPr>
      </w:pPr>
      <w:r>
        <w:rPr>
          <w:rFonts w:hint="eastAsia" w:ascii="楷体" w:hAnsi="楷体" w:eastAsia="楷体" w:cs="楷体"/>
          <w:b w:val="0"/>
          <w:bCs w:val="0"/>
          <w:color w:val="000000" w:themeColor="text1"/>
          <w:lang w:val="en-US" w:eastAsia="zh-CN"/>
          <w14:textFill>
            <w14:solidFill>
              <w14:schemeClr w14:val="tx1"/>
            </w14:solidFill>
          </w14:textFill>
        </w:rPr>
        <w:t>地域是历史具体化的表征。在解决由长线索到具体时代的由大到小的问题时，某一时代的风貌是通过历史长河中同一地域的差异性来体现的；而在解决由小到大的问题时，必须透过比较同一时代不同地域之间的差异，孟姜女这单一故事才可能承载时代历史的含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楷体" w:hAnsi="楷体" w:eastAsia="楷体" w:cs="楷体"/>
          <w:b w:val="0"/>
          <w:bCs w:val="0"/>
          <w:color w:val="000000" w:themeColor="text1"/>
          <w:lang w:val="en-US" w:eastAsia="zh-CN"/>
          <w14:textFill>
            <w14:solidFill>
              <w14:schemeClr w14:val="tx1"/>
            </w14:solidFill>
          </w14:textFill>
        </w:rPr>
      </w:pPr>
      <w:r>
        <w:rPr>
          <w:rFonts w:hint="eastAsia" w:ascii="楷体" w:hAnsi="楷体" w:eastAsia="楷体" w:cs="楷体"/>
          <w:b w:val="0"/>
          <w:bCs w:val="0"/>
          <w:color w:val="000000" w:themeColor="text1"/>
          <w:lang w:val="en-US" w:eastAsia="zh-CN"/>
          <w14:textFill>
            <w14:solidFill>
              <w14:schemeClr w14:val="tx1"/>
            </w14:solidFill>
          </w14:textFill>
        </w:rPr>
        <w:t>经过纵向和横向系统的交叉、时间脉络和空间场域的融合，顾颉刚的孟姜女研究并没有如绘制地图那样，在经线和纬线间找到一个最准确的坐标点。横向的系统、空间的场域，反而成为对时间持续性发展、对孟姜女故事历史转变的质疑者，也使这个研究也许永远不可能如顾颉刚期望的那样，成为一篇完整的大文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楷体" w:hAnsi="楷体" w:eastAsia="楷体" w:cs="楷体"/>
          <w:b/>
          <w:bCs/>
          <w:lang w:val="en-US" w:eastAsia="zh-CN"/>
        </w:rPr>
      </w:pPr>
      <w:r>
        <w:rPr>
          <w:rFonts w:hint="eastAsia" w:ascii="楷体" w:hAnsi="楷体" w:eastAsia="楷体" w:cs="楷体"/>
          <w:b w:val="0"/>
          <w:bCs w:val="0"/>
          <w:color w:val="000000" w:themeColor="text1"/>
          <w:lang w:val="en-US" w:eastAsia="zh-CN"/>
          <w14:textFill>
            <w14:solidFill>
              <w14:schemeClr w14:val="tx1"/>
            </w14:solidFill>
          </w14:textFill>
        </w:rPr>
        <w:t>就孟姜女故事在各地的演变来说，故事有一个源头，随着时间的推移和空间的扩展，在时间上象箭头一样的发展，在空间上如涟漪一般的扩张。这其实是学者想像中一个故事的完整叙述脉络。而人生境遇的相似，使得孟姜女成为一个有迹可寻的象征、变幻符号，不断被附会，这恐怕才是传说故事在民间产生、流传的原因，因此，故事的无序和繁复才是它在时空中存在、流行的真实状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outlineLvl w:val="9"/>
        <w:rPr>
          <w:rFonts w:hint="eastAsia" w:ascii="楷体" w:hAnsi="楷体" w:eastAsia="楷体" w:cs="楷体"/>
          <w:b w:val="0"/>
          <w:bCs w:val="0"/>
          <w:color w:val="000000" w:themeColor="text1"/>
          <w:lang w:val="en-US" w:eastAsia="zh-CN"/>
          <w14:textFill>
            <w14:solidFill>
              <w14:schemeClr w14:val="tx1"/>
            </w14:solidFill>
          </w14:textFill>
        </w:rPr>
      </w:pPr>
      <w:r>
        <w:rPr>
          <w:rFonts w:hint="eastAsia" w:ascii="楷体" w:hAnsi="楷体" w:eastAsia="楷体" w:cs="楷体"/>
          <w:b w:val="0"/>
          <w:bCs w:val="0"/>
          <w:color w:val="000000" w:themeColor="text1"/>
          <w:lang w:val="en-US" w:eastAsia="zh-CN"/>
          <w14:textFill>
            <w14:solidFill>
              <w14:schemeClr w14:val="tx1"/>
            </w14:solidFill>
          </w14:textFill>
        </w:rPr>
        <w:t>——彭春凌.“孟姜女故事研究”的生成与转向：顾颉刚的思路及困难[J].云梦学刊，2007（1）:21-23.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楷体" w:hAnsi="楷体" w:eastAsia="楷体" w:cs="楷体"/>
          <w:b w:val="0"/>
          <w:bCs w:val="0"/>
          <w:color w:val="000000" w:themeColor="text1"/>
          <w:lang w:val="en-US" w:eastAsia="zh-CN"/>
          <w14:textFill>
            <w14:solidFill>
              <w14:schemeClr w14:val="tx1"/>
            </w14:solidFill>
          </w14:textFill>
        </w:rPr>
      </w:pPr>
      <w:r>
        <w:rPr>
          <w:rFonts w:hint="eastAsia" w:ascii="楷体" w:hAnsi="楷体" w:eastAsia="楷体" w:cs="楷体"/>
          <w:b w:val="0"/>
          <w:bCs w:val="0"/>
          <w:color w:val="000000" w:themeColor="text1"/>
          <w:lang w:val="en-US" w:eastAsia="zh-CN"/>
          <w14:textFill>
            <w14:solidFill>
              <w14:schemeClr w14:val="tx1"/>
            </w14:solidFill>
          </w14:textFill>
        </w:rPr>
        <w:t>【资源】“时空观念”素养培育的优质素材。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outlineLvl w:val="9"/>
        <w:rPr>
          <w:rFonts w:hint="eastAsia" w:ascii="黑体" w:hAnsi="黑体" w:eastAsia="黑体" w:cs="黑体"/>
          <w:b/>
          <w:bCs/>
          <w:lang w:val="en-US" w:eastAsia="zh-CN"/>
        </w:rPr>
      </w:pPr>
      <w:r>
        <w:rPr>
          <w:rFonts w:hint="eastAsia" w:ascii="黑体" w:hAnsi="黑体" w:eastAsia="黑体" w:cs="黑体"/>
          <w:b/>
          <w:bCs/>
          <w:lang w:val="en-US" w:eastAsia="zh-CN"/>
        </w:rPr>
        <w:t>示例5：民间文学中的“误解”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楷体" w:hAnsi="楷体" w:eastAsia="楷体" w:cs="楷体"/>
          <w:b/>
          <w:bCs/>
          <w:lang w:val="en-US" w:eastAsia="zh-CN"/>
        </w:rPr>
      </w:pPr>
      <w:r>
        <w:rPr>
          <w:rFonts w:hint="eastAsia" w:ascii="楷体" w:hAnsi="楷体" w:eastAsia="楷体" w:cs="楷体"/>
          <w:b w:val="0"/>
          <w:bCs w:val="0"/>
          <w:lang w:val="en-US" w:eastAsia="zh-CN"/>
        </w:rPr>
        <w:t>从哲学的角度来看，个体作家创作的文学因时代变迁、读者认知、立场差异、审美风尚等导致的“误解”时有发生，一部中国古代数千年文学史，就是在传播和接受中不断被“误解”的历史。“误解”必然导致变异，而变异往往酝酿着更大的阐释空间，而这会为进一步的创造与欣赏提供更大的契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——邓心强，李建中.民间文学史中的“误解”与“话语较量”——以孟姜女传说故事为例[J].中州学刊，2008（6）：244.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【感悟】“误解”为文学创作中的良性互动提供了无限契机，但对于史学“求真”而言，却是一场场很难诠释的“灾难”。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阅读是教师专业成长的阶梯。基于师生前概念的主题式阅读，是我们摆脱教学困境的最佳切入口；在阅读过程中，我们不仅要善于精心筛选核心文献，也要潜心于有效阅读模式的探索与追寻，还要努力完善阅读体系并戮力化解阅读疑惑，将系统化、模式化、个性化的阅读高效推进，持续进行，以养成良性的阅读习惯。至于阅读副产品“札记”的生成，更应该是一个水到渠成的结果，它既能高效储备教学资源以服务教学，又能及时化解教学疑惑以提升师生学养，还能优化阅读习惯、提升素材意识以突破基础教育教学研究中的“瓶颈”，可谓“一箭三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【参考文献】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[1]俞晓鸿，苏宁，沈云云.什么才是真正的有效教学——前概念原理、方法、案例、行动[M].杭州:浙江大学出版社，2016：32.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[2]徐家兴、程春喜.楚“牵钩之戏”考[J].武汉商业服务学院学报,2007(3).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[3]么长青，高宣.隋唐拔河运动简考[J].兰台世界，2012（13）.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[4]杨金桃.传承·变异——孟姜女传说流变考略[J].兰州学刊,2013(6).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[5]顾颉刚.孟姜女故事研究及其他[M].北京：商务印书馆，2014:3.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[6]左丘明著，杜预注，上海：上海古籍出版社，2016:600.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[作者地址/安徽省六安中学，237161；联系电话：13966284420；QQ：38597492]</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37691"/>
    <w:rsid w:val="0FFB7AA7"/>
    <w:rsid w:val="380534EC"/>
    <w:rsid w:val="3C1132F3"/>
    <w:rsid w:val="4654470D"/>
    <w:rsid w:val="74B67A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7be8adef-ac91-49bc-8cec-78e62aaa41bf"/>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shenggang</dc:creator>
  <cp:lastModifiedBy>shenggang</cp:lastModifiedBy>
  <dcterms:modified xsi:type="dcterms:W3CDTF">2019-08-07T08:17:27Z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