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sz w:val="30"/>
        </w:rPr>
      </w:pPr>
      <w:bookmarkStart w:name="_GoBack" w:id="0"/>
      <w:bookmarkEnd w:id="0"/>
      <w:r>
        <w:rPr>
          <w:rFonts w:ascii="黑体" w:hAnsi="黑体" w:eastAsia="黑体" w:cs="黑体"/>
          <w:b/>
          <w:sz w:val="30"/>
        </w:rPr>
        <w:t>第四单元 寒假作业4</w:t>
      </w:r>
    </w:p>
    <w:p>
      <w:pPr>
        <w:jc w:val="center"/>
        <w:rPr>
          <w:rFonts w:ascii="Calibri" w:hAnsi="Calibri" w:eastAsia="Calibri" w:cs="Calibri"/>
        </w:rPr>
      </w:pPr>
      <w:r>
        <w:rPr>
          <w:rFonts w:ascii="Calibri" w:hAnsi="Calibri" w:eastAsia="Calibri" w:cs="Calibri"/>
        </w:rPr>
        <w:t>学校:___________姓名：___________班级：___________</w:t>
      </w:r>
    </w:p>
    <w:p>
      <w:pPr>
        <w:jc w:val="center"/>
        <w:rPr>
          <w:rFonts w:ascii="黑体" w:hAnsi="黑体" w:eastAsia="黑体" w:cs="黑体"/>
          <w:b/>
          <w:sz w:val="30"/>
        </w:rPr>
      </w:pPr>
    </w:p>
    <w:p>
      <w:pPr>
        <w:jc w:val="left"/>
        <w:rPr>
          <w:rFonts w:ascii="宋体" w:hAnsi="宋体" w:cs="宋体"/>
          <w:b/>
        </w:rPr>
      </w:pPr>
      <w:r>
        <w:rPr>
          <w:rFonts w:ascii="宋体" w:hAnsi="宋体" w:cs="宋体"/>
          <w:b/>
        </w:rPr>
        <w:t>一、单选题</w:t>
      </w:r>
    </w:p>
    <w:p>
      <w:pPr>
        <w:spacing w:line="360" w:lineRule="auto"/>
        <w:jc w:val="left"/>
      </w:pPr>
      <w:r>
        <w:t>1．明代阁臣选拔方式统计如下表所示，其中“特简”指由皇帝独断亲简，这反映了（</w:t>
      </w:r>
      <w:r>
        <w:rPr>
          <w:rFonts w:eastAsia="Times New Roman"/>
          <w:kern w:val="0"/>
          <w:sz w:val="24"/>
          <w:szCs w:val="24"/>
        </w:rPr>
        <w:t>   </w:t>
      </w:r>
      <w: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818"/>
        <w:gridCol w:w="1605"/>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方式</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特简</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其他14种方式</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人数</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46人</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115人</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161人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占比</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28.6％</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71.4％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100％</w:t>
            </w:r>
          </w:p>
        </w:tc>
      </w:tr>
    </w:tbl>
    <w:p>
      <w:pPr>
        <w:tabs>
          <w:tab w:val="left" w:pos="4156"/>
        </w:tabs>
        <w:spacing w:line="360" w:lineRule="auto"/>
        <w:jc w:val="left"/>
      </w:pPr>
      <w:r>
        <w:t>A．皇帝乾纲独断，大权独揽</w:t>
      </w:r>
      <w:r>
        <w:tab/>
      </w:r>
      <w:r>
        <w:t>B．皇帝选拔阁臣时会参酌他方意见</w:t>
      </w:r>
    </w:p>
    <w:p>
      <w:pPr>
        <w:tabs>
          <w:tab w:val="left" w:pos="4156"/>
        </w:tabs>
        <w:spacing w:line="360" w:lineRule="auto"/>
        <w:jc w:val="left"/>
      </w:pPr>
      <w:r>
        <w:t>C．实用型政治人才易被推荐</w:t>
      </w:r>
      <w:r>
        <w:tab/>
      </w:r>
      <w:r>
        <w:t>D．阁臣品质与科举考试标准相一致</w:t>
      </w:r>
    </w:p>
    <w:p>
      <w:pPr>
        <w:spacing w:line="360" w:lineRule="auto"/>
        <w:jc w:val="left"/>
      </w:pPr>
      <w:r>
        <w:t>2．明洪武九年六月，太祖下令废行中书省；十年六月，下令天下臣民言事者实封直达御前；七月，设通政司受内外章奏，于早朝汇达御前；十一年三月，又令六部“奏事勿关白中书省”。这些措施（</w:t>
      </w:r>
      <w:r>
        <w:rPr>
          <w:rFonts w:eastAsia="Times New Roman"/>
          <w:kern w:val="0"/>
          <w:sz w:val="24"/>
          <w:szCs w:val="24"/>
        </w:rPr>
        <w:t>   </w:t>
      </w:r>
      <w:r>
        <w:t>）</w:t>
      </w:r>
    </w:p>
    <w:p>
      <w:pPr>
        <w:tabs>
          <w:tab w:val="left" w:pos="4156"/>
        </w:tabs>
        <w:spacing w:line="360" w:lineRule="auto"/>
        <w:jc w:val="left"/>
      </w:pPr>
      <w:r>
        <w:t>A．提高了地方行政效率</w:t>
      </w:r>
      <w:r>
        <w:tab/>
      </w:r>
      <w:r>
        <w:t>B．废除了丞相制度</w:t>
      </w:r>
    </w:p>
    <w:p>
      <w:pPr>
        <w:tabs>
          <w:tab w:val="left" w:pos="4156"/>
        </w:tabs>
        <w:spacing w:line="360" w:lineRule="auto"/>
        <w:jc w:val="left"/>
      </w:pPr>
      <w:r>
        <w:t>C．强化了君主专制制度</w:t>
      </w:r>
      <w:r>
        <w:tab/>
      </w:r>
      <w:r>
        <w:t>D．完善了奏折制度</w:t>
      </w:r>
    </w:p>
    <w:p>
      <w:pPr>
        <w:spacing w:line="360" w:lineRule="auto"/>
        <w:jc w:val="left"/>
      </w:pPr>
      <w:r>
        <w:t>3．明太祖的总工作量和平均工作量绘制的统计图（时间：1384年9月14日至21日共8天）。关于这一状况的分析（　　）</w:t>
      </w:r>
    </w:p>
    <w:p>
      <w:pPr>
        <w:spacing w:line="360" w:lineRule="auto"/>
        <w:jc w:val="left"/>
      </w:pPr>
      <w:r>
        <w:drawing>
          <wp:inline distT="0" distB="0" distL="0" distR="0">
            <wp:extent cx="3362325" cy="2409825"/>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0"/>
                    <a:stretch>
                      <a:fillRect/>
                    </a:stretch>
                  </pic:blipFill>
                  <pic:spPr>
                    <a:xfrm>
                      <a:off x="0" y="0"/>
                      <a:ext cx="3362325" cy="2409825"/>
                    </a:xfrm>
                    <a:prstGeom prst="rect">
                      <a:avLst/>
                    </a:prstGeom>
                  </pic:spPr>
                </pic:pic>
              </a:graphicData>
            </a:graphic>
          </wp:inline>
        </w:drawing>
      </w:r>
    </w:p>
    <w:p>
      <w:pPr>
        <w:tabs>
          <w:tab w:val="left" w:pos="4156"/>
        </w:tabs>
        <w:spacing w:line="360" w:lineRule="auto"/>
        <w:jc w:val="left"/>
      </w:pPr>
      <w:r>
        <w:t>A．中枢机构效率低</w:t>
      </w:r>
      <w:r>
        <w:tab/>
      </w:r>
      <w:r>
        <w:t>B．明太祖是工作狂</w:t>
      </w:r>
    </w:p>
    <w:p>
      <w:pPr>
        <w:tabs>
          <w:tab w:val="left" w:pos="4156"/>
        </w:tabs>
        <w:spacing w:line="360" w:lineRule="auto"/>
        <w:jc w:val="left"/>
      </w:pPr>
      <w:r>
        <w:t>C．丞相制度的废除</w:t>
      </w:r>
      <w:r>
        <w:tab/>
      </w:r>
      <w:r>
        <w:t>D．内阁制度的建立</w:t>
      </w:r>
    </w:p>
    <w:p>
      <w:pPr>
        <w:spacing w:line="360" w:lineRule="auto"/>
        <w:jc w:val="left"/>
      </w:pPr>
      <w:r>
        <w:t>4．永乐年间，明朝允许江东蒙古人及女真人朝贡和互市。如永乐五年（1407年）二月，“敕镇守辽东保定侯孟善曰，缘边鞑靼、女直、野人来朝及互市者，悉听其便，但禁戢士卒勿扰之。”这反映出当时（</w:t>
      </w:r>
      <w:r>
        <w:rPr>
          <w:rFonts w:eastAsia="Times New Roman"/>
          <w:kern w:val="0"/>
          <w:sz w:val="24"/>
          <w:szCs w:val="24"/>
        </w:rPr>
        <w:t>   </w:t>
      </w:r>
      <w:r>
        <w:t>）</w:t>
      </w:r>
    </w:p>
    <w:p>
      <w:pPr>
        <w:tabs>
          <w:tab w:val="left" w:pos="4156"/>
        </w:tabs>
        <w:spacing w:line="360" w:lineRule="auto"/>
        <w:jc w:val="left"/>
      </w:pPr>
      <w:r>
        <w:t>A．蒙古部众已经归顺明朝</w:t>
      </w:r>
      <w:r>
        <w:tab/>
      </w:r>
      <w:r>
        <w:t>B．民族经济交流有限</w:t>
      </w:r>
    </w:p>
    <w:p>
      <w:pPr>
        <w:tabs>
          <w:tab w:val="left" w:pos="4156"/>
        </w:tabs>
        <w:spacing w:line="360" w:lineRule="auto"/>
        <w:jc w:val="left"/>
      </w:pPr>
      <w:r>
        <w:t>C．明朝边疆政策较为开放</w:t>
      </w:r>
      <w:r>
        <w:tab/>
      </w:r>
      <w:r>
        <w:t>D．汉蒙矛盾彻底化解</w:t>
      </w:r>
    </w:p>
    <w:p>
      <w:pPr>
        <w:spacing w:line="360" w:lineRule="auto"/>
        <w:jc w:val="left"/>
      </w:pPr>
      <w:r>
        <w:t>5．1644年3月19日，大顺军从正阳门、德胜门人，经承天门步入内殿。大臣皆己逃散，崇桢带著太监王承恩上煤山瞭望，最后自缢景山，史称甲申之变。这一变局表明（</w:t>
      </w:r>
      <w:r>
        <w:rPr>
          <w:rFonts w:eastAsia="Times New Roman"/>
          <w:kern w:val="0"/>
          <w:sz w:val="24"/>
          <w:szCs w:val="24"/>
        </w:rPr>
        <w:t>   </w:t>
      </w:r>
      <w:r>
        <w:t>）</w:t>
      </w:r>
    </w:p>
    <w:p>
      <w:pPr>
        <w:tabs>
          <w:tab w:val="left" w:pos="4156"/>
        </w:tabs>
        <w:spacing w:line="360" w:lineRule="auto"/>
        <w:jc w:val="left"/>
      </w:pPr>
      <w:r>
        <w:t>A．清朝结束了明朝统治</w:t>
      </w:r>
      <w:r>
        <w:tab/>
      </w:r>
      <w:r>
        <w:t>B．瓦剌南下终结了明朝</w:t>
      </w:r>
    </w:p>
    <w:p>
      <w:pPr>
        <w:tabs>
          <w:tab w:val="left" w:pos="4156"/>
        </w:tabs>
        <w:spacing w:line="360" w:lineRule="auto"/>
        <w:jc w:val="left"/>
      </w:pPr>
      <w:r>
        <w:t>C．多尔衮打败了李自成</w:t>
      </w:r>
      <w:r>
        <w:tab/>
      </w:r>
      <w:r>
        <w:t>D．明朝被农民起义推翻</w:t>
      </w:r>
    </w:p>
    <w:p>
      <w:pPr>
        <w:spacing w:line="360" w:lineRule="auto"/>
        <w:jc w:val="left"/>
      </w:pPr>
      <w:r>
        <w:t>6．当西方各国开始向工业文明迈进时，中华文明却日渐落伍。中国逐渐落伍的原因有（</w:t>
      </w:r>
      <w:r>
        <w:rPr>
          <w:rFonts w:eastAsia="Times New Roman"/>
          <w:kern w:val="0"/>
          <w:sz w:val="24"/>
          <w:szCs w:val="24"/>
        </w:rPr>
        <w:t>   </w:t>
      </w:r>
      <w:r>
        <w:t>）</w:t>
      </w:r>
    </w:p>
    <w:p>
      <w:pPr>
        <w:spacing w:line="360" w:lineRule="auto"/>
        <w:jc w:val="left"/>
      </w:pPr>
      <w:r>
        <w:t xml:space="preserve">①专制皇权高度加强 ②农业仍然是经济的主体 </w:t>
      </w:r>
    </w:p>
    <w:p>
      <w:pPr>
        <w:spacing w:line="360" w:lineRule="auto"/>
        <w:jc w:val="left"/>
      </w:pPr>
      <w:r>
        <w:t>③商品经济的发展</w:t>
      </w:r>
      <w:r>
        <w:rPr>
          <w:rFonts w:eastAsia="Times New Roman"/>
          <w:kern w:val="0"/>
          <w:sz w:val="24"/>
          <w:szCs w:val="24"/>
        </w:rPr>
        <w:t>   </w:t>
      </w:r>
      <w:r>
        <w:t>④实行闭关自守政策</w:t>
      </w:r>
    </w:p>
    <w:p>
      <w:pPr>
        <w:tabs>
          <w:tab w:val="left" w:pos="2078"/>
          <w:tab w:val="left" w:pos="4156"/>
          <w:tab w:val="left" w:pos="6234"/>
        </w:tabs>
        <w:spacing w:line="360" w:lineRule="auto"/>
        <w:jc w:val="left"/>
      </w:pPr>
      <w:r>
        <w:t>A．①②③</w:t>
      </w:r>
      <w:r>
        <w:tab/>
      </w:r>
      <w:r>
        <w:t>B．②③④</w:t>
      </w:r>
      <w:r>
        <w:tab/>
      </w:r>
      <w:r>
        <w:t>C．①③④</w:t>
      </w:r>
      <w:r>
        <w:tab/>
      </w:r>
      <w:r>
        <w:t>D．①②④</w:t>
      </w:r>
    </w:p>
    <w:p>
      <w:pPr>
        <w:spacing w:line="360" w:lineRule="auto"/>
        <w:jc w:val="left"/>
      </w:pPr>
      <w:r>
        <w:t>7．“时空观念”是历史学科核心素养的重要组成部分。下列地点与史实对应正确的是（</w:t>
      </w:r>
      <w:r>
        <w:rPr>
          <w:rFonts w:eastAsia="Times New Roman"/>
          <w:kern w:val="0"/>
          <w:sz w:val="24"/>
          <w:szCs w:val="24"/>
        </w:rPr>
        <w:t>   </w:t>
      </w:r>
      <w:r>
        <w:t>）</w:t>
      </w:r>
    </w:p>
    <w:p>
      <w:pPr>
        <w:spacing w:line="360" w:lineRule="auto"/>
        <w:jc w:val="left"/>
      </w:pPr>
      <w:r>
        <w:drawing>
          <wp:inline distT="0" distB="0" distL="0" distR="0">
            <wp:extent cx="3067050" cy="2352675"/>
            <wp:effectExtent l="0" t="0" r="0" b="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11"/>
                    <a:stretch>
                      <a:fillRect/>
                    </a:stretch>
                  </pic:blipFill>
                  <pic:spPr>
                    <a:xfrm>
                      <a:off x="0" y="0"/>
                      <a:ext cx="3067050" cy="2352675"/>
                    </a:xfrm>
                    <a:prstGeom prst="rect">
                      <a:avLst/>
                    </a:prstGeom>
                  </pic:spPr>
                </pic:pic>
              </a:graphicData>
            </a:graphic>
          </wp:inline>
        </w:drawing>
      </w:r>
    </w:p>
    <w:p>
      <w:pPr>
        <w:tabs>
          <w:tab w:val="left" w:pos="4156"/>
        </w:tabs>
        <w:spacing w:line="360" w:lineRule="auto"/>
        <w:jc w:val="left"/>
      </w:pPr>
      <w:r>
        <w:t>A．汉武帝在④处设西域都护府</w:t>
      </w:r>
      <w:r>
        <w:tab/>
      </w:r>
      <w:r>
        <w:t>B．唐玄宗在②处册封南诏首领</w:t>
      </w:r>
    </w:p>
    <w:p>
      <w:pPr>
        <w:tabs>
          <w:tab w:val="left" w:pos="4156"/>
        </w:tabs>
        <w:spacing w:line="360" w:lineRule="auto"/>
        <w:jc w:val="left"/>
      </w:pPr>
      <w:r>
        <w:t>C．元朝在③处大规模改土归流</w:t>
      </w:r>
      <w:r>
        <w:tab/>
      </w:r>
      <w:r>
        <w:t>D．清朝康熙帝在①处设台湾府</w:t>
      </w:r>
    </w:p>
    <w:p>
      <w:pPr>
        <w:spacing w:line="360" w:lineRule="auto"/>
        <w:jc w:val="left"/>
      </w:pPr>
      <w:r>
        <w:t>8．《大清律》规定苗疆地区苗汉之间的诉讼，按大清律治罪；西藏由驻藏大臣，新疆由驻防将军、参赞大臣负责该地区的司法。这一规定（</w:t>
      </w:r>
      <w:r>
        <w:rPr>
          <w:rFonts w:eastAsia="Times New Roman"/>
          <w:kern w:val="0"/>
          <w:sz w:val="24"/>
          <w:szCs w:val="24"/>
        </w:rPr>
        <w:t>   </w:t>
      </w:r>
      <w:r>
        <w:t>）</w:t>
      </w:r>
    </w:p>
    <w:p>
      <w:pPr>
        <w:tabs>
          <w:tab w:val="left" w:pos="4156"/>
        </w:tabs>
        <w:spacing w:line="360" w:lineRule="auto"/>
        <w:jc w:val="left"/>
      </w:pPr>
      <w:r>
        <w:t>A．有利于实现民族自治</w:t>
      </w:r>
      <w:r>
        <w:tab/>
      </w:r>
      <w:r>
        <w:t>B．维护了法律政令的统一</w:t>
      </w:r>
    </w:p>
    <w:p>
      <w:pPr>
        <w:tabs>
          <w:tab w:val="left" w:pos="4156"/>
        </w:tabs>
        <w:spacing w:line="360" w:lineRule="auto"/>
        <w:jc w:val="left"/>
      </w:pPr>
      <w:r>
        <w:t>C．促进了各民族的交融</w:t>
      </w:r>
      <w:r>
        <w:tab/>
      </w:r>
      <w:r>
        <w:t>D．加剧了民族之间的分化</w:t>
      </w:r>
    </w:p>
    <w:p>
      <w:pPr>
        <w:spacing w:line="360" w:lineRule="auto"/>
        <w:jc w:val="left"/>
      </w:pPr>
      <w:r>
        <w:t>9．清朝初年出现了两次向台湾移民的高潮：第一次是郑成功收复台湾后，大量明朝遗民迁至台湾垦殖；第二次是台湾归入清朝版图后，“民之渡台，如水之趋下，群流奔注”。这两次移民高潮（</w:t>
      </w:r>
      <w:r>
        <w:rPr>
          <w:rFonts w:eastAsia="Times New Roman"/>
          <w:kern w:val="0"/>
          <w:sz w:val="24"/>
          <w:szCs w:val="24"/>
        </w:rPr>
        <w:t>   </w:t>
      </w:r>
      <w:r>
        <w:t>）</w:t>
      </w:r>
    </w:p>
    <w:p>
      <w:pPr>
        <w:tabs>
          <w:tab w:val="left" w:pos="4156"/>
        </w:tabs>
        <w:spacing w:line="360" w:lineRule="auto"/>
        <w:jc w:val="left"/>
      </w:pPr>
      <w:r>
        <w:t>A．强化了内地与台湾的联系</w:t>
      </w:r>
      <w:r>
        <w:tab/>
      </w:r>
      <w:r>
        <w:t>B．驱逐了西方殖民侵略势力</w:t>
      </w:r>
    </w:p>
    <w:p>
      <w:pPr>
        <w:tabs>
          <w:tab w:val="left" w:pos="4156"/>
        </w:tabs>
        <w:spacing w:line="360" w:lineRule="auto"/>
        <w:jc w:val="left"/>
      </w:pPr>
      <w:r>
        <w:t>C．促进经济重心进一步南移</w:t>
      </w:r>
      <w:r>
        <w:tab/>
      </w:r>
      <w:r>
        <w:t>D．反映出海禁政策有所放松</w:t>
      </w:r>
    </w:p>
    <w:p>
      <w:pPr>
        <w:spacing w:line="360" w:lineRule="auto"/>
        <w:jc w:val="left"/>
      </w:pPr>
      <w:r>
        <w:t>10．清朝在蒙古族地区设立盟旗制度；在新疆设立伊犁将军；在西藏派遣驻藏大臣；在西南则大规模推行“改土归流”政策。由此可知清政府边疆治理的特点是（</w:t>
      </w:r>
      <w:r>
        <w:rPr>
          <w:rFonts w:eastAsia="Times New Roman"/>
          <w:kern w:val="0"/>
          <w:sz w:val="24"/>
          <w:szCs w:val="24"/>
        </w:rPr>
        <w:t>   </w:t>
      </w:r>
      <w:r>
        <w:t>）</w:t>
      </w:r>
    </w:p>
    <w:p>
      <w:pPr>
        <w:tabs>
          <w:tab w:val="left" w:pos="2078"/>
          <w:tab w:val="left" w:pos="4156"/>
          <w:tab w:val="left" w:pos="6234"/>
        </w:tabs>
        <w:spacing w:line="360" w:lineRule="auto"/>
        <w:jc w:val="left"/>
      </w:pPr>
      <w:r>
        <w:t>A．因地制宜</w:t>
      </w:r>
      <w:r>
        <w:tab/>
      </w:r>
      <w:r>
        <w:t>B．高度自治</w:t>
      </w:r>
      <w:r>
        <w:tab/>
      </w:r>
      <w:r>
        <w:t>C．垂直管理</w:t>
      </w:r>
      <w:r>
        <w:tab/>
      </w:r>
      <w:r>
        <w:t>D．编户齐民</w:t>
      </w:r>
    </w:p>
    <w:p>
      <w:pPr>
        <w:spacing w:line="360" w:lineRule="auto"/>
        <w:jc w:val="left"/>
      </w:pPr>
      <w:r>
        <w:t>11．明代白话短篇小说比长篇小说更直接更广泛地反映了社会生活，取得了辉煌成就，其中爱情婚姻题材作品占很大分量。这类作品歌颂了青年男女争取婚姻自主和幸福生活的斗争。这反映了（</w:t>
      </w:r>
      <w:r>
        <w:rPr>
          <w:rFonts w:eastAsia="Times New Roman"/>
          <w:kern w:val="0"/>
          <w:sz w:val="24"/>
          <w:szCs w:val="24"/>
        </w:rPr>
        <w:t>   </w:t>
      </w:r>
      <w:r>
        <w:t>）</w:t>
      </w:r>
    </w:p>
    <w:p>
      <w:pPr>
        <w:tabs>
          <w:tab w:val="left" w:pos="4156"/>
        </w:tabs>
        <w:spacing w:line="360" w:lineRule="auto"/>
        <w:jc w:val="left"/>
      </w:pPr>
      <w:r>
        <w:t>A．民主平等的思想追求</w:t>
      </w:r>
      <w:r>
        <w:tab/>
      </w:r>
      <w:r>
        <w:t>B．提倡个性的解放潮流</w:t>
      </w:r>
    </w:p>
    <w:p>
      <w:pPr>
        <w:tabs>
          <w:tab w:val="left" w:pos="4156"/>
        </w:tabs>
        <w:spacing w:line="360" w:lineRule="auto"/>
        <w:jc w:val="left"/>
      </w:pPr>
      <w:r>
        <w:t>C．文学创作的商业动力</w:t>
      </w:r>
      <w:r>
        <w:tab/>
      </w:r>
      <w:r>
        <w:t>D．市民阶层的心理需求</w:t>
      </w:r>
    </w:p>
    <w:p>
      <w:pPr>
        <w:spacing w:line="360" w:lineRule="auto"/>
        <w:jc w:val="left"/>
      </w:pPr>
      <w:r>
        <w:t xml:space="preserve">12．王阳明提出一套以“致良知”为核心的理论。他认为“良知”就是隐藏在每个人心中的“天理”，往往被私欲遮蔽，需要重新发现，这样就可以达到圣贤境界。据此可知，这一理论（ </w:t>
      </w:r>
      <w:r>
        <w:rPr>
          <w:rFonts w:eastAsia="Times New Roman"/>
          <w:kern w:val="0"/>
          <w:sz w:val="24"/>
          <w:szCs w:val="24"/>
        </w:rPr>
        <w:t>  </w:t>
      </w:r>
      <w:r>
        <w:t>）</w:t>
      </w:r>
    </w:p>
    <w:p>
      <w:pPr>
        <w:tabs>
          <w:tab w:val="left" w:pos="4156"/>
        </w:tabs>
        <w:spacing w:line="360" w:lineRule="auto"/>
        <w:jc w:val="left"/>
      </w:pPr>
      <w:r>
        <w:t>A．坚决反对研习儒学经典</w:t>
      </w:r>
      <w:r>
        <w:tab/>
      </w:r>
      <w:r>
        <w:t>B．主张格物致知以寻求天理</w:t>
      </w:r>
    </w:p>
    <w:p>
      <w:pPr>
        <w:tabs>
          <w:tab w:val="left" w:pos="4156"/>
        </w:tabs>
        <w:spacing w:line="360" w:lineRule="auto"/>
        <w:jc w:val="left"/>
      </w:pPr>
      <w:r>
        <w:t>C．受西学东渐影响而形成</w:t>
      </w:r>
      <w:r>
        <w:tab/>
      </w:r>
      <w:r>
        <w:t>D．隐含一定平等和叛逆色彩</w:t>
      </w:r>
    </w:p>
    <w:p>
      <w:pPr>
        <w:spacing w:line="360" w:lineRule="auto"/>
        <w:jc w:val="left"/>
      </w:pPr>
      <w:r>
        <w:t>13．下表是明末清初部分东西方论著的翻译情况，这些著作的翻译反映了当时（</w:t>
      </w:r>
      <w:r>
        <w:rPr>
          <w:rFonts w:eastAsia="Times New Roman"/>
          <w:kern w:val="0"/>
          <w:sz w:val="24"/>
          <w:szCs w:val="24"/>
        </w:rPr>
        <w:t>   </w:t>
      </w:r>
      <w: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171"/>
        <w:gridCol w:w="6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类别</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领域及书名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译为中文的西方著作</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数学《几何原本》、《几何要法》；物理学《泰西水法》、《远镜说》；军事《海外火攻神器图说》；生物学《泰西人身说概》；采矿学《坤舆格致》；地理学《职方外纪》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译为西文的中文著作</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pPr>
            <w:r>
              <w:t>儒学《论语》、《孟子》、《礼记》；哲学《老子》；文学《诗经》、《赵氏孤儿》</w:t>
            </w:r>
          </w:p>
        </w:tc>
      </w:tr>
    </w:tbl>
    <w:p>
      <w:pPr>
        <w:tabs>
          <w:tab w:val="left" w:pos="4156"/>
        </w:tabs>
        <w:spacing w:line="360" w:lineRule="auto"/>
        <w:jc w:val="left"/>
      </w:pPr>
      <w:r>
        <w:t>A．中国科技全面落后于西方</w:t>
      </w:r>
      <w:r>
        <w:tab/>
      </w:r>
      <w:r>
        <w:t>B．东西方文化的差异与交流</w:t>
      </w:r>
    </w:p>
    <w:p>
      <w:pPr>
        <w:tabs>
          <w:tab w:val="left" w:pos="4156"/>
        </w:tabs>
        <w:spacing w:line="360" w:lineRule="auto"/>
        <w:jc w:val="left"/>
      </w:pPr>
      <w:r>
        <w:t>C．西学东渐成为了社会思潮</w:t>
      </w:r>
      <w:r>
        <w:tab/>
      </w:r>
      <w:r>
        <w:t>D．清朝士大夫“开眼看世界”</w:t>
      </w:r>
    </w:p>
    <w:p>
      <w:pPr>
        <w:spacing w:line="360" w:lineRule="auto"/>
        <w:jc w:val="left"/>
      </w:pPr>
      <w:r>
        <w:t>14．《明会典》记载：凡进苏木、胡椒、香蜡等香料数万以上者，船至福建、广东等处，所在布政司随即会同都司按察司官检视物货，封睹完密听候，先将番使起送，赴京呈报数目……由此可知明朝中后期（</w:t>
      </w:r>
      <w:r>
        <w:rPr>
          <w:rFonts w:eastAsia="Times New Roman"/>
          <w:kern w:val="0"/>
          <w:sz w:val="24"/>
          <w:szCs w:val="24"/>
        </w:rPr>
        <w:t>   </w:t>
      </w:r>
      <w:r>
        <w:t>）</w:t>
      </w:r>
    </w:p>
    <w:p>
      <w:pPr>
        <w:tabs>
          <w:tab w:val="left" w:pos="4156"/>
        </w:tabs>
        <w:spacing w:line="360" w:lineRule="auto"/>
        <w:jc w:val="left"/>
      </w:pPr>
      <w:r>
        <w:t>A．私人海外贸易活跃</w:t>
      </w:r>
      <w:r>
        <w:tab/>
      </w:r>
      <w:r>
        <w:t>B．政府掌控胡椒等香料贸易</w:t>
      </w:r>
    </w:p>
    <w:p>
      <w:pPr>
        <w:tabs>
          <w:tab w:val="left" w:pos="4156"/>
        </w:tabs>
        <w:spacing w:line="360" w:lineRule="auto"/>
        <w:jc w:val="left"/>
      </w:pPr>
      <w:r>
        <w:t>C．海禁政策得到强化</w:t>
      </w:r>
      <w:r>
        <w:tab/>
      </w:r>
      <w:r>
        <w:t>D．地方布政司职权范围扩大</w:t>
      </w:r>
    </w:p>
    <w:p>
      <w:pPr>
        <w:spacing w:line="360" w:lineRule="auto"/>
        <w:jc w:val="left"/>
      </w:pPr>
      <w:r>
        <w:t>15．冯梦龙短篇小说“三言”大卖，激起了出版商野心。他们联系另一位通俗文学作家，凌初，于是《拍案惊奇》问世，市场一片叫好；书商见此，与凌商议，凌再次挥笔，写出《二刻拍案惊奇》。这反映了当时（</w:t>
      </w:r>
      <w:r>
        <w:rPr>
          <w:rFonts w:eastAsia="Times New Roman"/>
          <w:kern w:val="0"/>
          <w:sz w:val="24"/>
          <w:szCs w:val="24"/>
        </w:rPr>
        <w:t>   </w:t>
      </w:r>
      <w:r>
        <w:t>）</w:t>
      </w:r>
    </w:p>
    <w:p>
      <w:pPr>
        <w:tabs>
          <w:tab w:val="left" w:pos="4156"/>
        </w:tabs>
        <w:spacing w:line="360" w:lineRule="auto"/>
        <w:jc w:val="left"/>
      </w:pPr>
      <w:r>
        <w:t>A．商人文化眼光敏锐</w:t>
      </w:r>
      <w:r>
        <w:tab/>
      </w:r>
      <w:r>
        <w:t>B．短篇小说市场广阔</w:t>
      </w:r>
    </w:p>
    <w:p>
      <w:pPr>
        <w:tabs>
          <w:tab w:val="left" w:pos="4156"/>
        </w:tabs>
        <w:spacing w:line="360" w:lineRule="auto"/>
        <w:jc w:val="left"/>
        <w:rPr>
          <w:rFonts w:hint="eastAsia"/>
        </w:rPr>
      </w:pPr>
      <w:r>
        <w:t>C．科举考试内容变化</w:t>
      </w:r>
      <w:r>
        <w:tab/>
      </w:r>
      <w:r>
        <w:t>D．市民阶层精神需求</w:t>
      </w:r>
    </w:p>
    <w:p>
      <w:pPr>
        <w:tabs>
          <w:tab w:val="left" w:pos="4156"/>
        </w:tabs>
        <w:spacing w:line="360" w:lineRule="auto"/>
        <w:jc w:val="left"/>
        <w:rPr>
          <w:rFonts w:ascii="宋体" w:hAnsi="宋体" w:cs="宋体"/>
          <w:b/>
        </w:rPr>
      </w:pPr>
      <w:r>
        <w:rPr>
          <w:rFonts w:ascii="宋体" w:hAnsi="宋体" w:cs="宋体"/>
          <w:b/>
        </w:rPr>
        <w:t>二、材料分析题</w:t>
      </w:r>
    </w:p>
    <w:p>
      <w:pPr>
        <w:spacing w:line="360" w:lineRule="auto"/>
        <w:jc w:val="left"/>
      </w:pPr>
      <w:r>
        <w:t>16．阅读材料，完成下列要求。</w:t>
      </w:r>
    </w:p>
    <w:p>
      <w:pPr>
        <w:spacing w:line="360" w:lineRule="auto"/>
        <w:jc w:val="left"/>
        <w:rPr>
          <w:rFonts w:ascii="'Times New Roman'" w:hAnsi="'Times New Roman'" w:eastAsia="'Times New Roman'" w:cs="'Times New Roman'"/>
        </w:rPr>
      </w:pPr>
      <w:r>
        <w:rPr>
          <w:rFonts w:ascii="楷体" w:hAnsi="楷体" w:eastAsia="楷体" w:cs="楷体"/>
        </w:rPr>
        <w:t>材料</w:t>
      </w:r>
      <w:r>
        <w:rPr>
          <w:rFonts w:eastAsia="Times New Roman"/>
          <w:kern w:val="0"/>
          <w:sz w:val="24"/>
          <w:szCs w:val="24"/>
        </w:rPr>
        <w:t>  </w:t>
      </w:r>
      <w:r>
        <w:rPr>
          <w:rFonts w:ascii="楷体" w:hAnsi="楷体" w:eastAsia="楷体" w:cs="楷体"/>
        </w:rPr>
        <w:t>《明神宗实录》卷十二：（万历年间）京城内外盗贼生发，各该巡捕兵备官，虽不系本管地方，有能协力捕获者，纪录擢用。</w:t>
      </w:r>
    </w:p>
    <w:p>
      <w:pPr>
        <w:spacing w:line="360" w:lineRule="auto"/>
        <w:ind w:firstLine="420"/>
        <w:jc w:val="left"/>
        <w:rPr>
          <w:rFonts w:ascii="楷体" w:hAnsi="楷体" w:eastAsia="楷体" w:cs="楷体"/>
        </w:rPr>
      </w:pPr>
      <w:r>
        <w:rPr>
          <w:rFonts w:ascii="楷体" w:hAnsi="楷体" w:eastAsia="楷体" w:cs="楷体"/>
        </w:rPr>
        <w:t>《明宣宗实录》卷十三：（宣德年间）严京城捕盗之禁。时京城多盗，都御史刘观等议于五城兵马司各增官军一百人与同捕捉，每五十家置巡更铺一，遇夜以十人守之，有盗贼及违夜禁者皆听捕以闻。上从其议，命英国公张辅同五军都督府按地方遣军助之。</w:t>
      </w:r>
    </w:p>
    <w:p>
      <w:pPr>
        <w:spacing w:line="360" w:lineRule="auto"/>
        <w:ind w:firstLine="420"/>
        <w:jc w:val="left"/>
        <w:rPr>
          <w:rFonts w:ascii="楷体" w:hAnsi="楷体" w:eastAsia="楷体" w:cs="楷体"/>
        </w:rPr>
      </w:pPr>
      <w:r>
        <w:rPr>
          <w:rFonts w:ascii="楷体" w:hAnsi="楷体" w:eastAsia="楷体" w:cs="楷体"/>
        </w:rPr>
        <w:t>《明英宗实录》卷二百九十七：（天顺年间）以京师内外多强盗，命都察院出榜申谕诸人擒捕，若得实其原捕及首告人，赏钞二千贯仍给贼眦，官旗、军校升一级，民匠加赏银十两。</w:t>
      </w:r>
    </w:p>
    <w:p>
      <w:pPr>
        <w:spacing w:line="360" w:lineRule="auto"/>
        <w:ind w:firstLine="420"/>
        <w:jc w:val="left"/>
        <w:rPr>
          <w:rFonts w:ascii="楷体" w:hAnsi="楷体" w:eastAsia="楷体" w:cs="楷体"/>
        </w:rPr>
      </w:pPr>
      <w:r>
        <w:rPr>
          <w:rFonts w:ascii="楷体" w:hAnsi="楷体" w:eastAsia="楷体" w:cs="楷体"/>
        </w:rPr>
        <w:t>《明孝宗实录》卷一百零九：（弘治年间）先是，京师奸民马纪，夜聚诸恶少马聪等，持刀入民妇家，逼而淫之，劫其财复，抱持以出，诸恶少递淫于通衢。至晓，舁入酒肆，不纳，弃而去之，为逻者所获。</w:t>
      </w:r>
    </w:p>
    <w:p>
      <w:pPr>
        <w:spacing w:line="360" w:lineRule="auto"/>
        <w:jc w:val="left"/>
      </w:pPr>
      <w:r>
        <w:t>(1)根据材料，概括诏书所反映的明朝京城治安状况，并据此分析当时统治者所面临的政治问题。</w:t>
      </w:r>
    </w:p>
    <w:p>
      <w:pPr>
        <w:spacing w:line="360" w:lineRule="auto"/>
        <w:jc w:val="left"/>
      </w:pPr>
      <w:r>
        <w:t>(2)根据材料并结合所学知识，补充一条明朝为解决上述政治问题所采取的措施，并说明理由。</w:t>
      </w:r>
    </w:p>
    <w:p>
      <w:pPr>
        <w:spacing w:line="360" w:lineRule="auto"/>
        <w:jc w:val="left"/>
        <w:rPr>
          <w:rFonts w:hint="eastAsia"/>
        </w:rPr>
      </w:pPr>
      <w:r>
        <w:t>17．中国疆域的沿革不仅呈现出空间范围的变化，更是一个国家形成的历史见证。以下是秦朝、西汉和清朝前期的疆域图。请分别指出图片所对应的朝代，并依据图中信息说明理由。</w:t>
      </w:r>
      <w:r>
        <w:drawing>
          <wp:inline distT="0" distB="0" distL="0" distR="0">
            <wp:extent cx="5278120" cy="1548765"/>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2"/>
                    <a:stretch>
                      <a:fillRect/>
                    </a:stretch>
                  </pic:blipFill>
                  <pic:spPr>
                    <a:xfrm>
                      <a:off x="0" y="0"/>
                      <a:ext cx="5278120" cy="1549061"/>
                    </a:xfrm>
                    <a:prstGeom prst="rect">
                      <a:avLst/>
                    </a:prstGeom>
                  </pic:spPr>
                </pic:pic>
              </a:graphicData>
            </a:graphic>
          </wp:inline>
        </w:drawing>
      </w:r>
    </w:p>
    <w:p>
      <w:pPr>
        <w:spacing w:line="360" w:lineRule="auto"/>
        <w:jc w:val="left"/>
        <w:rPr>
          <w:rFonts w:ascii="宋体" w:hAnsi="宋体" w:cs="宋体"/>
          <w:b/>
        </w:rPr>
      </w:pPr>
      <w:r>
        <w:rPr>
          <w:rFonts w:ascii="宋体" w:hAnsi="宋体" w:cs="宋体"/>
          <w:b/>
        </w:rPr>
        <w:t>三、论述题</w:t>
      </w:r>
    </w:p>
    <w:p>
      <w:pPr>
        <w:spacing w:line="360" w:lineRule="auto"/>
        <w:jc w:val="left"/>
      </w:pPr>
      <w:r>
        <w:t>18．阅读下列材料，完成要求。</w:t>
      </w:r>
    </w:p>
    <w:p>
      <w:pPr>
        <w:spacing w:line="360" w:lineRule="auto"/>
        <w:jc w:val="left"/>
        <w:rPr>
          <w:rFonts w:ascii="'Times New Roman'" w:hAnsi="'Times New Roman'" w:eastAsia="'Times New Roman'" w:cs="'Times New Roman'"/>
        </w:rPr>
      </w:pPr>
      <w:r>
        <w:rPr>
          <w:rFonts w:ascii="楷体" w:hAnsi="楷体" w:eastAsia="楷体" w:cs="楷体"/>
        </w:rPr>
        <w:t>材料一</w:t>
      </w:r>
      <w:r>
        <w:rPr>
          <w:rFonts w:eastAsia="Times New Roman"/>
          <w:kern w:val="0"/>
          <w:sz w:val="24"/>
          <w:szCs w:val="24"/>
        </w:rPr>
        <w:t>  </w:t>
      </w:r>
      <w:r>
        <w:rPr>
          <w:rFonts w:ascii="楷体" w:hAnsi="楷体" w:eastAsia="楷体" w:cs="楷体"/>
        </w:rPr>
        <w:t>唐前期均田制之下，有“人”即有“田”，到唐中后期实行两税法后，规定“户无主客，以见居为簿人无丁中，以贫富为差”。宋初，统治者因势利导采取“不抑兼并”“不立田制”的政策，“有钱则买，无钱则卖”，土地的流转空前加快。与此相适应，编户规则也发生了变化，宋政府根据常产的多少和是否直接承担国家赋税将全部居民划分为主户和客户，客户与地主的契约关系，使其对地主的人身依附关系较之前代有所放松……这样，大量的佃农亦可涌入城市。</w:t>
      </w:r>
    </w:p>
    <w:p>
      <w:pPr>
        <w:spacing w:line="360" w:lineRule="auto"/>
        <w:ind w:firstLine="420"/>
        <w:jc w:val="right"/>
        <w:rPr>
          <w:rFonts w:ascii="楷体" w:hAnsi="楷体" w:eastAsia="楷体" w:cs="楷体"/>
        </w:rPr>
      </w:pPr>
      <w:r>
        <w:rPr>
          <w:rFonts w:ascii="楷体" w:hAnsi="楷体" w:eastAsia="楷体" w:cs="楷体"/>
        </w:rPr>
        <w:t>——摘编自曹端波∶《唐宋户籍制度的变革与社会转型》</w:t>
      </w:r>
    </w:p>
    <w:p>
      <w:pPr>
        <w:spacing w:line="360" w:lineRule="auto"/>
        <w:jc w:val="left"/>
        <w:rPr>
          <w:rFonts w:ascii="'Times New Roman'" w:hAnsi="'Times New Roman'" w:eastAsia="'Times New Roman'" w:cs="'Times New Roman'"/>
        </w:rPr>
      </w:pPr>
      <w:r>
        <w:rPr>
          <w:rFonts w:ascii="楷体" w:hAnsi="楷体" w:eastAsia="楷体" w:cs="楷体"/>
        </w:rPr>
        <w:t>材料二</w:t>
      </w:r>
      <w:r>
        <w:rPr>
          <w:rFonts w:eastAsia="Times New Roman"/>
          <w:kern w:val="0"/>
          <w:sz w:val="24"/>
          <w:szCs w:val="24"/>
        </w:rPr>
        <w:t>  </w:t>
      </w:r>
      <w:r>
        <w:rPr>
          <w:rFonts w:ascii="楷体" w:hAnsi="楷体" w:eastAsia="楷体" w:cs="楷体"/>
        </w:rPr>
        <w:t>清初沿用明“一条鞭法”，丁银与田赋独立存在。随着清政权的稳固和社会经济的恢复发展，土地频繁更换主人，加之民族矛盾与阶级矛盾一直非常尖锐，为增加人丁数量、稳定税收收入，康熙规定∶“滋生人丁永不加赋”，至雍正年间“摊丁入亩”，彻底将田赋与丁银合二为一，进一步减轻了封建人身依附关系。</w:t>
      </w:r>
    </w:p>
    <w:p>
      <w:pPr>
        <w:spacing w:line="360" w:lineRule="auto"/>
        <w:ind w:firstLine="420"/>
        <w:jc w:val="right"/>
        <w:rPr>
          <w:rFonts w:ascii="楷体" w:hAnsi="楷体" w:eastAsia="楷体" w:cs="楷体"/>
        </w:rPr>
      </w:pPr>
      <w:r>
        <w:rPr>
          <w:rFonts w:ascii="楷体" w:hAnsi="楷体" w:eastAsia="楷体" w:cs="楷体"/>
        </w:rPr>
        <w:t>——郝英∶《清初摊丁入亩赋税制度改革研究》</w:t>
      </w:r>
    </w:p>
    <w:p>
      <w:pPr>
        <w:spacing w:line="360" w:lineRule="auto"/>
        <w:jc w:val="left"/>
      </w:pPr>
      <w:r>
        <w:t>(1)根据材料一并结合所学知识，指出唐中后期到两宋时期赋役与户籍制度的变化，并分析这些变化的影响。</w:t>
      </w:r>
    </w:p>
    <w:p>
      <w:pPr>
        <w:spacing w:line="360" w:lineRule="auto"/>
        <w:jc w:val="left"/>
      </w:pPr>
      <w:r>
        <w:t>(2)根据材料二并结合所学知识，指出清初进行赋税制度改革的背景。</w:t>
      </w:r>
    </w:p>
    <w:p>
      <w:pPr>
        <w:spacing w:line="360" w:lineRule="auto"/>
        <w:jc w:val="left"/>
      </w:pPr>
      <w:r>
        <w:t>(3)根据上述材料，概括中国古代赋役制度发展演变的趋势。</w:t>
      </w:r>
    </w:p>
    <w:p>
      <w:pPr>
        <w:spacing w:line="360" w:lineRule="auto"/>
        <w:jc w:val="left"/>
        <w:sectPr>
          <w:headerReference w:type="default" r:id="rId3"/>
          <w:footerReference w:type="default" r:id="rId4"/>
          <w:footerReference w:type="even" r:id="rId5"/>
          <w:pgSz w:w="11907" w:h="16839"/>
          <w:pgMar w:top="900" w:right="1997" w:bottom="900" w:left="1997" w:header="500" w:footer="500" w:gutter="0"/>
          <w:cols w:space="425" w:num="1" w:sep="1"/>
          <w:docGrid w:type="lines" w:linePitch="312" w:charSpace="0"/>
        </w:sectPr>
      </w:pPr>
    </w:p>
    <w:p>
      <w:pPr>
        <w:jc w:val="center"/>
        <w:rPr>
          <w:rFonts w:ascii="宋体" w:hAnsi="宋体" w:cs="宋体"/>
          <w:b/>
        </w:rPr>
      </w:pPr>
      <w:r>
        <w:rPr>
          <w:rFonts w:ascii="宋体" w:hAnsi="宋体" w:cs="宋体"/>
          <w:b/>
        </w:rPr>
        <w:t>参考答案：</w:t>
      </w:r>
    </w:p>
    <w:p>
      <w:pPr>
        <w:spacing w:line="360" w:lineRule="auto"/>
        <w:jc w:val="left"/>
      </w:pPr>
      <w:r>
        <w:t>1．B</w:t>
      </w:r>
      <w:r>
        <w:rPr>
          <w:rFonts w:hint="eastAsia"/>
        </w:rPr>
        <w:t xml:space="preserve">  </w:t>
      </w:r>
      <w:r>
        <w:t>2．C</w:t>
      </w:r>
      <w:r>
        <w:rPr>
          <w:rFonts w:hint="eastAsia"/>
        </w:rPr>
        <w:t xml:space="preserve">  </w:t>
      </w:r>
      <w:r>
        <w:t>3．C</w:t>
      </w:r>
      <w:r>
        <w:rPr>
          <w:rFonts w:hint="eastAsia"/>
        </w:rPr>
        <w:t xml:space="preserve">  </w:t>
      </w:r>
      <w:r>
        <w:t>4．C</w:t>
      </w:r>
      <w:r>
        <w:rPr>
          <w:rFonts w:hint="eastAsia"/>
        </w:rPr>
        <w:t xml:space="preserve">  </w:t>
      </w:r>
      <w:r>
        <w:t>5．D</w:t>
      </w:r>
      <w:r>
        <w:rPr>
          <w:rFonts w:hint="eastAsia"/>
        </w:rPr>
        <w:t xml:space="preserve">  </w:t>
      </w:r>
      <w:r>
        <w:t>6．D</w:t>
      </w:r>
      <w:r>
        <w:rPr>
          <w:rFonts w:hint="eastAsia"/>
        </w:rPr>
        <w:t xml:space="preserve">  </w:t>
      </w:r>
      <w:r>
        <w:t>7．D</w:t>
      </w:r>
      <w:r>
        <w:rPr>
          <w:rFonts w:hint="eastAsia"/>
        </w:rPr>
        <w:t xml:space="preserve">  </w:t>
      </w:r>
      <w:r>
        <w:t>8．B</w:t>
      </w:r>
      <w:r>
        <w:rPr>
          <w:rFonts w:hint="eastAsia"/>
        </w:rPr>
        <w:t xml:space="preserve">  </w:t>
      </w:r>
      <w:r>
        <w:t>9．A</w:t>
      </w:r>
      <w:r>
        <w:rPr>
          <w:rFonts w:hint="eastAsia"/>
        </w:rPr>
        <w:t xml:space="preserve">  </w:t>
      </w:r>
      <w:r>
        <w:t>10．A</w:t>
      </w:r>
    </w:p>
    <w:p>
      <w:pPr>
        <w:spacing w:line="360" w:lineRule="auto"/>
        <w:jc w:val="left"/>
      </w:pPr>
      <w:r>
        <w:t>11．D</w:t>
      </w:r>
      <w:r>
        <w:rPr>
          <w:rFonts w:hint="eastAsia"/>
        </w:rPr>
        <w:t xml:space="preserve">  </w:t>
      </w:r>
      <w:r>
        <w:t>12．D</w:t>
      </w:r>
      <w:r>
        <w:rPr>
          <w:rFonts w:hint="eastAsia"/>
        </w:rPr>
        <w:t xml:space="preserve">  </w:t>
      </w:r>
      <w:r>
        <w:t>13．B</w:t>
      </w:r>
      <w:r>
        <w:rPr>
          <w:rFonts w:hint="eastAsia"/>
        </w:rPr>
        <w:t xml:space="preserve">  </w:t>
      </w:r>
      <w:r>
        <w:t>14．B</w:t>
      </w:r>
      <w:r>
        <w:rPr>
          <w:rFonts w:hint="eastAsia"/>
        </w:rPr>
        <w:t xml:space="preserve">  </w:t>
      </w:r>
      <w:r>
        <w:t>15．D</w:t>
      </w:r>
    </w:p>
    <w:p>
      <w:pPr>
        <w:spacing w:line="360" w:lineRule="auto"/>
        <w:jc w:val="left"/>
      </w:pPr>
      <w:r>
        <w:t>16．(1)状况：盗贼四起，治安状况混乱。问题：社会矛盾尖锐，统治危机加深；社会治理呈现混乱状态。</w:t>
      </w:r>
    </w:p>
    <w:p>
      <w:pPr>
        <w:spacing w:line="360" w:lineRule="auto"/>
        <w:jc w:val="left"/>
        <w:rPr>
          <w:rFonts w:hint="eastAsia"/>
        </w:rPr>
      </w:pPr>
      <w:r>
        <w:t>(2)措施：通过厂卫等特务机构，加强对社会的控制。理由：厂卫特务机关既可以加强对官员的监督，保障皇权的绝对权威；也能够有效地实现对民众的控制，维护京城统治秩序。</w:t>
      </w:r>
    </w:p>
    <w:p>
      <w:pPr>
        <w:spacing w:line="360" w:lineRule="auto"/>
        <w:jc w:val="left"/>
      </w:pPr>
      <w:r>
        <w:t>17．图一是清朝；因为伊犁、乌里雅苏台、啦萨等地归中央政府管辖，其疆域与今天的疆域最为接近。图二是秦朝；因为首都在咸阳，北方有匈奴为患，并修筑了长城。图三是西汉；因为中央政府设置了河西四郡，北方有匈奴为患。</w:t>
      </w:r>
    </w:p>
    <w:p>
      <w:pPr>
        <w:spacing w:line="360" w:lineRule="auto"/>
        <w:jc w:val="left"/>
      </w:pPr>
      <w:r>
        <w:t>18．(1)变化：赋役征收标准由以人丁为主到以财产为主；户籍制度逐渐产生主、客户的区别。</w:t>
      </w:r>
    </w:p>
    <w:p>
      <w:pPr>
        <w:spacing w:line="360" w:lineRule="auto"/>
        <w:jc w:val="left"/>
      </w:pPr>
      <w:r>
        <w:t>影响：增加了政府财政收人；放松了地主对农民的人身束缚；促进了市民阶层的形成和商品经济的繁荣。</w:t>
      </w:r>
    </w:p>
    <w:p>
      <w:pPr>
        <w:spacing w:line="360" w:lineRule="auto"/>
        <w:jc w:val="left"/>
      </w:pPr>
      <w:r>
        <w:t>(2)背景：政权的初步巩固；社会经济恢复；土地商品化进一步发展；社会矛盾尖锐；国家财政收入困难。</w:t>
      </w:r>
    </w:p>
    <w:p>
      <w:pPr>
        <w:spacing w:line="360" w:lineRule="auto"/>
        <w:jc w:val="left"/>
      </w:pPr>
      <w:r>
        <w:t>(3)趋势：赋役的征收标准由人丁为主向以田亩、资产为主；赋役征收由实物、劳役为主向货币转变，国家对百姓的人身束缚进一步减弱。</w:t>
      </w:r>
    </w:p>
    <w:p>
      <w:pPr>
        <w:spacing w:line="360" w:lineRule="auto"/>
        <w:jc w:val="left"/>
      </w:pPr>
    </w:p>
    <w:p>
      <w:pPr>
        <w:spacing w:line="360" w:lineRule="auto"/>
        <w:jc w:val="left"/>
        <w:sectPr>
          <w:footerReference w:type="default" r:id="rId6"/>
          <w:footerReference w:type="even" r:id="rId7"/>
          <w:pgSz w:w="11906" w:h="16838"/>
          <w:pgMar w:top="1440" w:right="1797" w:bottom="1440" w:left="1797" w:header="851" w:footer="992" w:gutter="0"/>
          <w:pgNumType w:start="1"/>
          <w:cols w:space="425" w:num="1"/>
          <w:docGrid w:type="lines" w:linePitch="312" w:charSpace="0"/>
        </w:sectPr>
      </w:pP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4ZTc0ZTE1Y2JjNWEwZDA2ODcxZmNhZTAxZGM1NmIifQ=="/>
  </w:docVars>
  <w:rsids>
    <w:rsidRoot w:val="00C806B0"/>
    <w:rsid w:val="00043B54"/>
    <w:rsid w:val="001D7A06"/>
    <w:rsid w:val="00284433"/>
    <w:rsid w:val="002A1EC6"/>
    <w:rsid w:val="002E035E"/>
    <w:rsid w:val="004151FC"/>
    <w:rsid w:val="0064153B"/>
    <w:rsid w:val="006B16C5"/>
    <w:rsid w:val="00776133"/>
    <w:rsid w:val="00855687"/>
    <w:rsid w:val="008C07DE"/>
    <w:rsid w:val="009E611B"/>
    <w:rsid w:val="00A30CCE"/>
    <w:rsid w:val="00AC3E9C"/>
    <w:rsid w:val="00BC4F14"/>
    <w:rsid w:val="00BC62FB"/>
    <w:rsid w:val="00BF535F"/>
    <w:rsid w:val="00C02FC6"/>
    <w:rsid w:val="00C806B0"/>
    <w:rsid w:val="00E476EE"/>
    <w:rsid w:val="00EF035E"/>
    <w:rsid w:val="00F23BC4"/>
    <w:rsid w:val="00F420A6"/>
    <w:rsid w:val="00F5449F"/>
    <w:rsid w:val="044D097F"/>
    <w:rsid w:val="4E635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oter" Target="footer4.xml" Id="rId7" /><Relationship Type="http://schemas.openxmlformats.org/officeDocument/2006/relationships/footer" Target="footer3.xml" Id="rId6" /><Relationship Type="http://schemas.openxmlformats.org/officeDocument/2006/relationships/footer" Target="footer2.xml" Id="rId5" /><Relationship Type="http://schemas.openxmlformats.org/officeDocument/2006/relationships/footer" Target="footer1.xml" Id="rId4" /><Relationship Type="http://schemas.openxmlformats.org/officeDocument/2006/relationships/header" Target="header1.xml" Id="rId3" /><Relationship Type="http://schemas.openxmlformats.org/officeDocument/2006/relationships/settings" Target="settings.xml" Id="rId2" /><Relationship Type="http://schemas.openxmlformats.org/officeDocument/2006/relationships/fontTable" Target="fontTable.xml" Id="rId15" /><Relationship Type="http://schemas.openxmlformats.org/officeDocument/2006/relationships/customXml" Target="../customXml/item2.xml" Id="rId14" /><Relationship Type="http://schemas.openxmlformats.org/officeDocument/2006/relationships/customXml" Target="../customXml/item1.xml" Id="rId13" /><Relationship Type="http://schemas.openxmlformats.org/officeDocument/2006/relationships/image" Target="media/image5.png" Id="rId12" /><Relationship Type="http://schemas.openxmlformats.org/officeDocument/2006/relationships/image" Target="media/image4.png" Id="rId11" /><Relationship Type="http://schemas.openxmlformats.org/officeDocument/2006/relationships/image" Target="media/image3.png" Id="rId10" /><Relationship Type="http://schemas.openxmlformats.org/officeDocument/2006/relationships/styles" Target="styles.xml" Id="rI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1"/>
    <customShpInfo spid="_x0000_s2053"/>
    <customShpInfo spid="_x0000_s2054"/>
    <customShpInfo spid="_x0000_s2055"/>
    <customShpInfo spid="_x0000_s205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03A334-D2EE-4830-B81C-FD396DAEC05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3432</Words>
  <Characters>3528</Characters>
  <DocSecurity>0</DocSecurity>
  <Lines>26</Lines>
  <Paragraphs>7</Paragraphs>
  <ScaleCrop>false</ScaleCrop>
  <LinksUpToDate>false</LinksUpToDate>
  <CharactersWithSpaces>3642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terms:modified xsi:type="dcterms:W3CDTF">2023-01-18T14:36:14Z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2052-11.1.0.13703</vt:lpwstr>
  </op:property>
  <op:property fmtid="{D5CDD505-2E9C-101B-9397-08002B2CF9AE}" pid="3" name="ICV">
    <vt:lpwstr>24AB74AB815944158DA3A0F925E40D09</vt:lpwstr>
  </op:property>
</op:Properties>
</file>