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BFA" w:rsidRPr="00724811" w:rsidRDefault="005A5BBC" w:rsidP="00C64BFA">
      <w:pPr>
        <w:spacing w:line="520" w:lineRule="exact"/>
        <w:jc w:val="center"/>
        <w:outlineLvl w:val="0"/>
        <w:rPr>
          <w:rFonts w:ascii="仿宋_GB2312" w:eastAsia="仿宋_GB2312" w:hAnsi="宋体"/>
          <w:b/>
          <w:sz w:val="28"/>
          <w:szCs w:val="28"/>
        </w:rPr>
      </w:pPr>
      <w:bookmarkStart w:id="0" w:name="_GoBack"/>
      <w:r>
        <w:rPr>
          <w:rFonts w:ascii="仿宋_GB2312" w:eastAsia="仿宋_GB2312" w:hAnsi="宋体" w:hint="eastAsia"/>
          <w:b/>
          <w:sz w:val="28"/>
          <w:szCs w:val="28"/>
        </w:rPr>
        <w:t>专题</w:t>
      </w:r>
      <w:r w:rsidR="00BE51C5">
        <w:rPr>
          <w:rFonts w:ascii="仿宋_GB2312" w:eastAsia="仿宋_GB2312" w:hAnsi="宋体" w:hint="eastAsia"/>
          <w:b/>
          <w:sz w:val="28"/>
          <w:szCs w:val="28"/>
        </w:rPr>
        <w:t>八</w:t>
      </w:r>
      <w:r w:rsidR="00C64BFA">
        <w:rPr>
          <w:rFonts w:ascii="仿宋_GB2312" w:eastAsia="仿宋_GB2312" w:hAnsi="宋体" w:hint="eastAsia"/>
          <w:b/>
          <w:sz w:val="28"/>
          <w:szCs w:val="28"/>
        </w:rPr>
        <w:t>：</w:t>
      </w:r>
      <w:r w:rsidR="00BE51C5" w:rsidRPr="00BE51C5">
        <w:rPr>
          <w:rFonts w:ascii="仿宋_GB2312" w:eastAsia="仿宋_GB2312" w:hAnsi="宋体" w:hint="eastAsia"/>
          <w:b/>
          <w:sz w:val="28"/>
          <w:szCs w:val="28"/>
        </w:rPr>
        <w:t>19世纪以来的世界文学艺术</w:t>
      </w:r>
    </w:p>
    <w:bookmarkEnd w:id="0"/>
    <w:p w:rsidR="00BE51C5" w:rsidRPr="00BE51C5" w:rsidRDefault="00C64BFA" w:rsidP="00BE51C5">
      <w:pPr>
        <w:spacing w:line="340" w:lineRule="exact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C64BFA">
        <w:rPr>
          <w:rFonts w:hint="eastAsia"/>
          <w:b/>
          <w:sz w:val="24"/>
        </w:rPr>
        <w:t>一．</w:t>
      </w:r>
      <w:r w:rsidR="00BE51C5" w:rsidRPr="00BE51C5">
        <w:rPr>
          <w:rFonts w:asciiTheme="minorHAnsi" w:eastAsiaTheme="minorEastAsia" w:hAnsiTheme="minorHAnsi" w:cstheme="minorBidi" w:hint="eastAsia"/>
          <w:b/>
          <w:sz w:val="28"/>
          <w:szCs w:val="28"/>
        </w:rPr>
        <w:t>考试说明考点要求</w:t>
      </w:r>
    </w:p>
    <w:p w:rsidR="00BE51C5" w:rsidRPr="00BE51C5" w:rsidRDefault="00BE51C5" w:rsidP="00BE51C5">
      <w:pPr>
        <w:spacing w:line="340" w:lineRule="exact"/>
        <w:ind w:firstLineChars="200" w:firstLine="480"/>
        <w:rPr>
          <w:rFonts w:asciiTheme="minorEastAsia" w:eastAsiaTheme="minorEastAsia" w:hAnsiTheme="minorEastAsia" w:cstheme="minorBidi"/>
          <w:sz w:val="24"/>
        </w:rPr>
      </w:pPr>
      <w:r w:rsidRPr="00BE51C5">
        <w:rPr>
          <w:rFonts w:asciiTheme="minorEastAsia" w:eastAsiaTheme="minorEastAsia" w:hAnsiTheme="minorEastAsia" w:cstheme="minorBidi" w:hint="eastAsia"/>
          <w:sz w:val="24"/>
        </w:rPr>
        <w:t>1</w:t>
      </w:r>
      <w:r w:rsidRPr="00BE51C5">
        <w:rPr>
          <w:rFonts w:asciiTheme="minorEastAsia" w:eastAsiaTheme="minorEastAsia" w:hAnsiTheme="minorEastAsia" w:cstheme="minorBidi" w:hint="eastAsia"/>
          <w:sz w:val="24"/>
        </w:rPr>
        <w:t>、</w:t>
      </w:r>
      <w:r w:rsidRPr="00BE51C5">
        <w:rPr>
          <w:rFonts w:asciiTheme="minorEastAsia" w:eastAsiaTheme="minorEastAsia" w:hAnsiTheme="minorEastAsia" w:cstheme="minorBidi" w:hint="eastAsia"/>
          <w:sz w:val="24"/>
        </w:rPr>
        <w:t>知道《唐璜》、《人间喜剧》、《战争与和平》，认识其影响。</w:t>
      </w:r>
    </w:p>
    <w:p w:rsidR="00BE51C5" w:rsidRPr="00BE51C5" w:rsidRDefault="00BE51C5" w:rsidP="00BE51C5">
      <w:pPr>
        <w:spacing w:line="340" w:lineRule="exact"/>
        <w:ind w:firstLineChars="200" w:firstLine="464"/>
        <w:rPr>
          <w:rFonts w:asciiTheme="minorEastAsia" w:eastAsiaTheme="minorEastAsia" w:hAnsiTheme="minorEastAsia" w:cstheme="minorBidi"/>
          <w:spacing w:val="-4"/>
          <w:sz w:val="24"/>
        </w:rPr>
      </w:pPr>
      <w:r w:rsidRPr="00BE51C5">
        <w:rPr>
          <w:rFonts w:asciiTheme="minorEastAsia" w:eastAsiaTheme="minorEastAsia" w:hAnsiTheme="minorEastAsia" w:cstheme="minorBidi" w:hint="eastAsia"/>
          <w:spacing w:val="-4"/>
          <w:sz w:val="24"/>
        </w:rPr>
        <w:t>2、</w:t>
      </w:r>
      <w:r w:rsidRPr="00BE51C5">
        <w:rPr>
          <w:rFonts w:asciiTheme="minorEastAsia" w:eastAsiaTheme="minorEastAsia" w:hAnsiTheme="minorEastAsia" w:cstheme="minorBidi" w:hint="eastAsia"/>
          <w:spacing w:val="-4"/>
          <w:sz w:val="24"/>
        </w:rPr>
        <w:t>知道凡·高和毕加索及他们的代表作。</w:t>
      </w:r>
    </w:p>
    <w:p w:rsidR="00BE51C5" w:rsidRPr="00BE51C5" w:rsidRDefault="00BE51C5" w:rsidP="00BE51C5">
      <w:pPr>
        <w:spacing w:line="340" w:lineRule="exact"/>
        <w:ind w:firstLineChars="200" w:firstLine="480"/>
        <w:rPr>
          <w:rFonts w:asciiTheme="minorEastAsia" w:eastAsiaTheme="minorEastAsia" w:hAnsiTheme="minorEastAsia" w:cstheme="minorBidi"/>
          <w:sz w:val="24"/>
        </w:rPr>
      </w:pPr>
      <w:r w:rsidRPr="00BE51C5">
        <w:rPr>
          <w:rFonts w:asciiTheme="minorEastAsia" w:eastAsiaTheme="minorEastAsia" w:hAnsiTheme="minorEastAsia" w:cstheme="minorBidi" w:hint="eastAsia"/>
          <w:sz w:val="24"/>
        </w:rPr>
        <w:t>3、</w:t>
      </w:r>
      <w:r w:rsidRPr="00BE51C5">
        <w:rPr>
          <w:rFonts w:asciiTheme="minorEastAsia" w:eastAsiaTheme="minorEastAsia" w:hAnsiTheme="minorEastAsia" w:cstheme="minorBidi" w:hint="eastAsia"/>
          <w:sz w:val="24"/>
        </w:rPr>
        <w:t>知道贝多芬及其主要作品，理解这些音乐作品的时代性和多样性。</w:t>
      </w:r>
    </w:p>
    <w:p w:rsidR="00BE51C5" w:rsidRPr="00BE51C5" w:rsidRDefault="00BE51C5" w:rsidP="00BE51C5">
      <w:pPr>
        <w:spacing w:line="340" w:lineRule="exact"/>
        <w:rPr>
          <w:rFonts w:asciiTheme="minorHAnsi" w:eastAsiaTheme="minorEastAsia" w:hAnsiTheme="minorHAnsi" w:cstheme="minorBidi"/>
          <w:b/>
          <w:sz w:val="28"/>
          <w:szCs w:val="28"/>
        </w:rPr>
      </w:pPr>
      <w:r w:rsidRPr="00BE51C5">
        <w:rPr>
          <w:rFonts w:asciiTheme="minorHAnsi" w:eastAsiaTheme="minorEastAsia" w:hAnsiTheme="minorHAnsi" w:cstheme="minorBidi" w:hint="eastAsia"/>
          <w:b/>
          <w:sz w:val="28"/>
          <w:szCs w:val="28"/>
        </w:rPr>
        <w:t>二．基础知识梳理</w:t>
      </w:r>
    </w:p>
    <w:p w:rsidR="00BE51C5" w:rsidRPr="00BE51C5" w:rsidRDefault="00BE51C5" w:rsidP="00BE51C5">
      <w:pPr>
        <w:spacing w:line="340" w:lineRule="exact"/>
        <w:rPr>
          <w:rFonts w:asciiTheme="minorHAnsi" w:eastAsiaTheme="minorEastAsia" w:hAnsiTheme="minorHAnsi" w:cstheme="minorBidi"/>
          <w:b/>
          <w:sz w:val="24"/>
          <w:szCs w:val="22"/>
        </w:rPr>
      </w:pPr>
      <w:r w:rsidRPr="00BE51C5">
        <w:rPr>
          <w:rFonts w:asciiTheme="minorHAnsi" w:eastAsiaTheme="minorEastAsia" w:hAnsiTheme="minorHAnsi" w:cstheme="minorBidi" w:hint="eastAsia"/>
          <w:b/>
          <w:sz w:val="24"/>
          <w:szCs w:val="22"/>
        </w:rPr>
        <w:t>（一）知道《唐璜》《人间喜剧》《战争与和平》，认识其影响。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1、《唐璜》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仿宋_GB2312" w:eastAsia="仿宋_GB2312" w:hAnsi="宋体" w:cstheme="minorBidi" w:hint="eastAsia"/>
          <w:sz w:val="24"/>
        </w:rPr>
        <w:t>(1)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文学流派：浪漫主义文学（18世纪后期至19世纪中叶）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仿宋_GB2312" w:eastAsia="仿宋_GB2312" w:hAnsi="宋体" w:cstheme="minorBidi" w:hint="eastAsia"/>
          <w:sz w:val="24"/>
        </w:rPr>
        <w:t>(2)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作者：拜伦（“诗坛上的拿破仑”）：英国浪漫主义诗人，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仿宋_GB2312" w:eastAsia="仿宋_GB2312" w:hAnsi="宋体" w:cstheme="minorBidi" w:hint="eastAsia"/>
          <w:sz w:val="24"/>
        </w:rPr>
        <w:t>(3)影响：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被誉为“讽刺现代社会积弊的百科全书”。</w:t>
      </w:r>
    </w:p>
    <w:p w:rsidR="00BE51C5" w:rsidRPr="00BE51C5" w:rsidRDefault="00BE51C5" w:rsidP="00BE51C5">
      <w:pPr>
        <w:spacing w:line="340" w:lineRule="exact"/>
        <w:rPr>
          <w:rFonts w:asciiTheme="minorHAnsi" w:eastAsiaTheme="minorEastAsia" w:hAnsiTheme="minorHAnsi" w:cstheme="minorBidi"/>
          <w:b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2、</w:t>
      </w:r>
      <w:r w:rsidRPr="00BE51C5">
        <w:rPr>
          <w:rFonts w:asciiTheme="minorHAnsi" w:eastAsiaTheme="minorEastAsia" w:hAnsiTheme="minorHAnsi" w:cstheme="minorBidi" w:hint="eastAsia"/>
          <w:b/>
          <w:sz w:val="24"/>
          <w:szCs w:val="22"/>
        </w:rPr>
        <w:t>《人间喜剧》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仿宋_GB2312" w:eastAsia="仿宋_GB2312" w:hAnsi="宋体" w:cstheme="minorBidi" w:hint="eastAsia"/>
          <w:sz w:val="24"/>
        </w:rPr>
        <w:t>(1)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文学流派：批判现实主义文学（19世纪中叶）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仿宋_GB2312" w:eastAsia="仿宋_GB2312" w:hAnsi="宋体" w:cstheme="minorBidi" w:hint="eastAsia"/>
          <w:sz w:val="24"/>
        </w:rPr>
        <w:t>(2)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作者：巴尔扎克：法国批判现实主义作家（自称是法国社会的“书记员”），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仿宋_GB2312" w:eastAsia="仿宋_GB2312" w:hAnsi="宋体" w:cstheme="minorBidi" w:hint="eastAsia"/>
          <w:sz w:val="24"/>
        </w:rPr>
        <w:t>(3)影响：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被誉为“资本主义社会的百科全书。”</w:t>
      </w:r>
    </w:p>
    <w:p w:rsidR="00BE51C5" w:rsidRPr="00BE51C5" w:rsidRDefault="00BE51C5" w:rsidP="00BE51C5">
      <w:pPr>
        <w:spacing w:line="340" w:lineRule="exact"/>
        <w:rPr>
          <w:rFonts w:asciiTheme="minorHAnsi" w:eastAsiaTheme="minorEastAsia" w:hAnsiTheme="minorHAnsi" w:cstheme="minorBidi"/>
          <w:b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3、</w:t>
      </w:r>
      <w:r w:rsidRPr="00BE51C5">
        <w:rPr>
          <w:rFonts w:asciiTheme="minorHAnsi" w:eastAsiaTheme="minorEastAsia" w:hAnsiTheme="minorHAnsi" w:cstheme="minorBidi" w:hint="eastAsia"/>
          <w:b/>
          <w:sz w:val="24"/>
          <w:szCs w:val="22"/>
        </w:rPr>
        <w:t>《战争与和平》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仿宋_GB2312" w:eastAsia="仿宋_GB2312" w:hAnsi="宋体" w:cstheme="minorBidi" w:hint="eastAsia"/>
          <w:sz w:val="24"/>
        </w:rPr>
        <w:t>(1)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文学流派：批判现实主义文学（19世纪中叶）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仿宋_GB2312" w:eastAsia="仿宋_GB2312" w:hAnsi="宋体" w:cstheme="minorBidi" w:hint="eastAsia"/>
          <w:sz w:val="24"/>
        </w:rPr>
        <w:t>(2)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作者：列夫•托尔斯泰：俄国批判现实主义作家（列宁称其为“俄国革命的镜子“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仿宋_GB2312" w:eastAsia="仿宋_GB2312" w:hAnsi="宋体" w:cstheme="minorBidi" w:hint="eastAsia"/>
          <w:sz w:val="24"/>
        </w:rPr>
        <w:t>(3)影响：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被罗曼·罗兰誉为“近代的《伊利亚特》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b/>
          <w:kern w:val="0"/>
          <w:szCs w:val="21"/>
        </w:rPr>
      </w:pPr>
      <w:r w:rsidRPr="00BE51C5">
        <w:rPr>
          <w:rFonts w:asciiTheme="minorHAnsi" w:eastAsiaTheme="minorEastAsia" w:hAnsiTheme="minorHAnsi" w:cstheme="minorBidi" w:hint="eastAsia"/>
          <w:b/>
          <w:sz w:val="28"/>
          <w:szCs w:val="28"/>
        </w:rPr>
        <w:t>（二）</w:t>
      </w:r>
      <w:r w:rsidRPr="00BE51C5">
        <w:rPr>
          <w:rFonts w:ascii="仿宋_GB2312" w:eastAsia="仿宋_GB2312" w:hAnsi="宋体" w:cstheme="minorBidi" w:hint="eastAsia"/>
          <w:b/>
          <w:spacing w:val="-4"/>
          <w:sz w:val="28"/>
          <w:szCs w:val="28"/>
        </w:rPr>
        <w:t>知道凡·高和毕加索及他们的代表作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noProof/>
          <w:kern w:val="0"/>
          <w:sz w:val="24"/>
          <w:szCs w:val="22"/>
        </w:rPr>
        <w:drawing>
          <wp:anchor distT="0" distB="0" distL="114300" distR="114300" simplePos="0" relativeHeight="251659264" behindDoc="0" locked="0" layoutInCell="1" allowOverlap="1" wp14:anchorId="21433A42" wp14:editId="2B1EC926">
            <wp:simplePos x="0" y="0"/>
            <wp:positionH relativeFrom="column">
              <wp:posOffset>4848860</wp:posOffset>
            </wp:positionH>
            <wp:positionV relativeFrom="paragraph">
              <wp:posOffset>102870</wp:posOffset>
            </wp:positionV>
            <wp:extent cx="1203325" cy="839470"/>
            <wp:effectExtent l="19050" t="0" r="0" b="0"/>
            <wp:wrapSquare wrapText="bothSides"/>
            <wp:docPr id="6" name="图片 6" descr="x06-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 descr="x06-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 xml:space="preserve">1、凡高（荷兰）：                                                 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(1)美术流派：后印象派代表，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(2)代表作品：《向日葵》；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(3)艺术创作风格：他的作品色彩极其强烈，富有个性，充满了火一样的热情，他被称为“扑向太阳的画家”。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noProof/>
          <w:kern w:val="0"/>
          <w:sz w:val="24"/>
          <w:szCs w:val="22"/>
        </w:rPr>
        <w:drawing>
          <wp:anchor distT="0" distB="0" distL="114300" distR="114300" simplePos="0" relativeHeight="251660288" behindDoc="0" locked="0" layoutInCell="1" allowOverlap="1" wp14:anchorId="5717821B" wp14:editId="3BE734B4">
            <wp:simplePos x="0" y="0"/>
            <wp:positionH relativeFrom="column">
              <wp:posOffset>4702175</wp:posOffset>
            </wp:positionH>
            <wp:positionV relativeFrom="paragraph">
              <wp:posOffset>154305</wp:posOffset>
            </wp:positionV>
            <wp:extent cx="1437005" cy="1148080"/>
            <wp:effectExtent l="19050" t="0" r="0" b="0"/>
            <wp:wrapSquare wrapText="bothSides"/>
            <wp:docPr id="7" name="图片 7" descr="《格尔尼卡》，毕加索作，1937年，布面油画，305．5×782．3厘米，普拉多博物馆藏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《格尔尼卡》，毕加索作，1937年，布面油画，305．5×782．3厘米，普拉多博物馆藏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14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2、毕加索（西班牙），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(1)美术流派：立体派画家，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(2)代表作品：《格尔尼卡》（1937年德国轰炸西班牙重镇格尔尼卡，镇上的无辜居民惨遭屠杀。纳粹的这一罪行激起了国际舆论的强烈谴责。毕加索义愤填膺，随即拿起画笔，以此事件为题，画了一幅他生平最伟大的画作《格尔尼卡》预言了二次世界大战的到来。）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(3)艺术创作风格：他的作品</w:t>
      </w:r>
      <w:r w:rsidRPr="00BE51C5">
        <w:rPr>
          <w:rFonts w:ascii="宋体" w:eastAsiaTheme="minorEastAsia" w:hAnsi="宋体" w:cstheme="minorBidi" w:hint="eastAsia"/>
          <w:bCs/>
          <w:kern w:val="0"/>
          <w:sz w:val="24"/>
          <w:szCs w:val="22"/>
        </w:rPr>
        <w:t>采用了夸张、变形与抽象的表现方法</w:t>
      </w:r>
    </w:p>
    <w:p w:rsidR="00BE51C5" w:rsidRPr="00BE51C5" w:rsidRDefault="00BE51C5" w:rsidP="00BE51C5">
      <w:pPr>
        <w:spacing w:line="340" w:lineRule="exact"/>
        <w:rPr>
          <w:rFonts w:asciiTheme="minorHAnsi" w:eastAsiaTheme="minorEastAsia" w:hAnsiTheme="minorHAnsi" w:cstheme="minorBidi"/>
          <w:b/>
          <w:sz w:val="24"/>
          <w:szCs w:val="22"/>
        </w:rPr>
      </w:pPr>
      <w:r w:rsidRPr="00BE51C5">
        <w:rPr>
          <w:rFonts w:asciiTheme="minorHAnsi" w:eastAsiaTheme="minorEastAsia" w:hAnsiTheme="minorHAnsi" w:cstheme="minorBidi" w:hint="eastAsia"/>
          <w:b/>
          <w:sz w:val="24"/>
          <w:szCs w:val="22"/>
        </w:rPr>
        <w:t>（三）知道贝多芬及其主要作品，理解这些音乐作品的时代性和多样性。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(1)乐坛地位：德国音乐家，既将古典音乐推向新的高峰，又开创了浪漫主义音乐的先河（为两大乐派架起桥梁），被为“乐圣”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(2)最大的贡献：是对交响曲的发展和创新（</w:t>
      </w:r>
      <w:r w:rsidRPr="00BE51C5">
        <w:rPr>
          <w:rFonts w:asciiTheme="minorEastAsia" w:eastAsiaTheme="minorEastAsia" w:hAnsiTheme="minorEastAsia" w:cstheme="minorBidi" w:hint="eastAsia"/>
          <w:bCs/>
          <w:sz w:val="24"/>
        </w:rPr>
        <w:t>将声乐与器乐结合，开创了交响乐的新形式，赋予器乐反映社会重大题材的使命</w:t>
      </w: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）；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(3)代表作品：九部交响曲。如《第三（英雄）交响曲》（原为献给拿破仑而作）、《第九（合唱）交响曲》（现为欧盟盟歌）等，</w:t>
      </w:r>
    </w:p>
    <w:p w:rsidR="00BE51C5" w:rsidRPr="00BE51C5" w:rsidRDefault="00BE51C5" w:rsidP="00BE51C5">
      <w:pPr>
        <w:spacing w:line="340" w:lineRule="exact"/>
        <w:rPr>
          <w:rFonts w:ascii="宋体" w:eastAsiaTheme="minorEastAsia" w:hAnsi="宋体" w:cstheme="minorBidi"/>
          <w:kern w:val="0"/>
          <w:sz w:val="24"/>
          <w:szCs w:val="22"/>
        </w:rPr>
      </w:pPr>
      <w:r w:rsidRPr="00BE51C5">
        <w:rPr>
          <w:rFonts w:ascii="宋体" w:eastAsiaTheme="minorEastAsia" w:hAnsi="宋体" w:cstheme="minorBidi" w:hint="eastAsia"/>
          <w:kern w:val="0"/>
          <w:sz w:val="24"/>
          <w:szCs w:val="22"/>
        </w:rPr>
        <w:t>(4)作品风格：受其自身反封建和民主革命精神的影响，洋溢着英雄主义和乐观主义气息。</w:t>
      </w:r>
    </w:p>
    <w:p w:rsidR="00BE51C5" w:rsidRPr="00BE51C5" w:rsidRDefault="00BE51C5" w:rsidP="00BE51C5">
      <w:pPr>
        <w:rPr>
          <w:rFonts w:asciiTheme="minorHAnsi" w:eastAsiaTheme="minorEastAsia" w:hAnsiTheme="minorHAnsi" w:cstheme="minorBidi"/>
          <w:sz w:val="24"/>
        </w:rPr>
      </w:pPr>
    </w:p>
    <w:p w:rsidR="00BE51C5" w:rsidRPr="00BE51C5" w:rsidRDefault="00BE51C5" w:rsidP="00BE51C5">
      <w:pPr>
        <w:rPr>
          <w:rFonts w:asciiTheme="minorHAnsi" w:eastAsiaTheme="minorEastAsia" w:hAnsiTheme="minorHAnsi" w:cstheme="minorBidi"/>
          <w:sz w:val="24"/>
        </w:rPr>
      </w:pPr>
      <w:r w:rsidRPr="00BE51C5">
        <w:rPr>
          <w:rFonts w:asciiTheme="minorHAnsi" w:eastAsiaTheme="minorEastAsia" w:hAnsiTheme="minorHAnsi" w:cstheme="minorBidi" w:hint="eastAsia"/>
          <w:sz w:val="24"/>
        </w:rPr>
        <w:t>三．会考真题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2FDDB0A3" wp14:editId="66CE2F7C">
            <wp:simplePos x="0" y="0"/>
            <wp:positionH relativeFrom="column">
              <wp:posOffset>5271135</wp:posOffset>
            </wp:positionH>
            <wp:positionV relativeFrom="paragraph">
              <wp:posOffset>70485</wp:posOffset>
            </wp:positionV>
            <wp:extent cx="1092200" cy="771525"/>
            <wp:effectExtent l="0" t="0" r="0" b="9525"/>
            <wp:wrapSquare wrapText="bothSides"/>
            <wp:docPr id="8" name="图片 7" descr="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L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E51C5">
        <w:rPr>
          <w:rFonts w:asciiTheme="minorEastAsia" w:eastAsiaTheme="minorEastAsia" w:hAnsiTheme="minorEastAsia" w:cstheme="minorBidi" w:hint="eastAsia"/>
          <w:szCs w:val="21"/>
        </w:rPr>
        <w:t>1</w:t>
      </w:r>
      <w:r w:rsidRPr="00BE51C5">
        <w:rPr>
          <w:rFonts w:asciiTheme="minorEastAsia" w:eastAsiaTheme="minorEastAsia" w:hAnsiTheme="minorEastAsia" w:cstheme="minorBidi"/>
          <w:szCs w:val="21"/>
        </w:rPr>
        <w:t>．贝多芬的作品洋溢着英雄主义和乐观主义气息。他曾视拿破仑为英雄，并为他谱写了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/>
          <w:szCs w:val="21"/>
        </w:rPr>
        <w:t xml:space="preserve">    A．《命运交响曲》    B．《田园交响曲》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/>
          <w:szCs w:val="21"/>
        </w:rPr>
        <w:t xml:space="preserve">    C．《英雄交响曲》D．《合唱交响曲》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2．色彩强烈，富有个性，充满火一样的热情是图6所示作品的特点。它的作者是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 wp14:anchorId="7027432D" wp14:editId="2D48F675">
            <wp:simplePos x="0" y="0"/>
            <wp:positionH relativeFrom="column">
              <wp:posOffset>5401310</wp:posOffset>
            </wp:positionH>
            <wp:positionV relativeFrom="paragraph">
              <wp:posOffset>60960</wp:posOffset>
            </wp:positionV>
            <wp:extent cx="876300" cy="927100"/>
            <wp:effectExtent l="19050" t="0" r="0" b="0"/>
            <wp:wrapTight wrapText="bothSides">
              <wp:wrapPolygon edited="0">
                <wp:start x="-470" y="0"/>
                <wp:lineTo x="-470" y="21304"/>
                <wp:lineTo x="21600" y="21304"/>
                <wp:lineTo x="21600" y="0"/>
                <wp:lineTo x="-470" y="0"/>
              </wp:wrapPolygon>
            </wp:wrapTight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1C5">
        <w:rPr>
          <w:rFonts w:asciiTheme="minorEastAsia" w:eastAsiaTheme="minorEastAsia" w:hAnsiTheme="minorEastAsia" w:cstheme="minorBidi" w:hint="eastAsia"/>
          <w:szCs w:val="21"/>
        </w:rPr>
        <w:t>A．塞尚     B．莫奈   C．凡·高   D．罗丹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3．图8是一幅世界名画，其作者被后人誉为“扑向太阳的画家”。他是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A达·芬奇   B梵·高    C 莫奈     D毕加索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4，图5所示油画作品色彩强烈，充满火一样的热情。其创作者应是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2EA59A65" wp14:editId="2220EADC">
            <wp:simplePos x="0" y="0"/>
            <wp:positionH relativeFrom="column">
              <wp:posOffset>5356860</wp:posOffset>
            </wp:positionH>
            <wp:positionV relativeFrom="paragraph">
              <wp:posOffset>130810</wp:posOffset>
            </wp:positionV>
            <wp:extent cx="971550" cy="908050"/>
            <wp:effectExtent l="19050" t="0" r="0" b="0"/>
            <wp:wrapSquare wrapText="bothSides"/>
            <wp:docPr id="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 A.莫奈    B.贝多芬    C凡·高    D．毕加索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5．音乐具有时代性、多样性和民族性。把古典音乐推向新的高峰，又开创了浪漫音乐先河的音乐大师是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A．舒伯特    　B．舒曼  　　C．莫扎特　 　D．贝多芬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6．既把古典主义音乐发展到炉火纯青，又开创了浪漫主义音乐先河的音乐大师是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 A．莫扎特    B．德彪西    C．贝多芬    D．舒伯特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7. 下列文学作品中，用于浪漫主义风格的是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 A．《唐璜）    B.《人间喜剧》    C．《战争与和平》D．《红与黑》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8，拜伦是</w:t>
      </w:r>
      <w:r w:rsidRPr="00BE51C5">
        <w:rPr>
          <w:rFonts w:asciiTheme="minorEastAsia" w:eastAsiaTheme="minorEastAsia" w:hAnsiTheme="minorEastAsia" w:cstheme="minorBidi"/>
          <w:szCs w:val="21"/>
        </w:rPr>
        <w:t>19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>世纪欧洲浪漫主义文学的代表人物之一，他在诗歌中塑造了一批“拜伦式英雄”。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/>
          <w:szCs w:val="21"/>
        </w:rPr>
        <w:t xml:space="preserve">  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>其代表作是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/>
          <w:szCs w:val="21"/>
        </w:rPr>
        <w:t xml:space="preserve">  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</w:t>
      </w:r>
      <w:r w:rsidRPr="00BE51C5">
        <w:rPr>
          <w:rFonts w:asciiTheme="minorEastAsia" w:eastAsiaTheme="minorEastAsia" w:hAnsiTheme="minorEastAsia" w:cstheme="minorBidi"/>
          <w:szCs w:val="21"/>
        </w:rPr>
        <w:t>A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>．《人间喜剧》</w:t>
      </w:r>
      <w:r w:rsidRPr="00BE51C5">
        <w:rPr>
          <w:rFonts w:asciiTheme="minorEastAsia" w:eastAsiaTheme="minorEastAsia" w:hAnsiTheme="minorEastAsia" w:cstheme="minorBidi"/>
          <w:szCs w:val="21"/>
        </w:rPr>
        <w:t>B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>．《悲惨世界》</w:t>
      </w:r>
      <w:r w:rsidRPr="00BE51C5">
        <w:rPr>
          <w:rFonts w:asciiTheme="minorEastAsia" w:eastAsiaTheme="minorEastAsia" w:hAnsiTheme="minorEastAsia" w:cstheme="minorBidi"/>
          <w:szCs w:val="21"/>
        </w:rPr>
        <w:t xml:space="preserve"> C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>．《唐璜》</w:t>
      </w:r>
      <w:r w:rsidRPr="00BE51C5">
        <w:rPr>
          <w:rFonts w:asciiTheme="minorEastAsia" w:eastAsiaTheme="minorEastAsia" w:hAnsiTheme="minorEastAsia" w:cstheme="minorBidi"/>
          <w:szCs w:val="21"/>
        </w:rPr>
        <w:t xml:space="preserve"> D.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>《战争与和平》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9．托尔斯泰被列宁称为“俄国革命的镜子”。他的代表作之一是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A．《人间喜剧》　B．《战争与和平》　C．《唐璜》　　　D．《十日谈》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10．下列批判现实主义文学作品中，被列宁称为“俄国革命的镜子”的是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 A．《人间喜剧》   B．《战争与和平》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ab/>
        <w:t>C．《红与黑》        D．《双城记》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11．雨果评价巴尔扎克的作品是“一座高大而坚固的、建立在花岗岩基础上的丰碑。”其作品是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 A．《红与熙》       B．《人间喜剧》     C．《战争与和平》   D．《唐璜》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12．19世纪前期，揭露金钱社会的罪恶与丑陋，被誉为“社会百科全书”的著作是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A．《哈姆雷特》   B．《唐璜》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ab/>
        <w:t>C．《人间喜剧》      D．《战争与和平》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13．深刻揭露金钱至上的罪恶，展示了19世纪前期法国社会生活的批判现实主义文学作品是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A．《哈姆雷特》    B．《唐璜》    c．《人间喜剧》  D．《战争与和平》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14．列夫·托尔斯泰描写俄国人民反抗法国侵略战争的文学作品是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 A．《十日谈》    B．《唐璜》    C．《人间喜剧》  D．《战争与和平》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15. 被誉为“19 世纪法国资本主义社会百科全书”的文学作品是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A.《人间喜剧》B.《战争与和平》C.《西风颂》  D.《雾都孤儿》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16. 19世纪前期，被誉为“资本主义社会百科全书"的作品是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A．《唐璜》    B．《战争与和平》    C．《红与黑》    D．《人间喜剧》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17．展示19世纪前期整个法国社会生活，被誉为“资本主义社会的百科全书”的作品是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 A．《唐璜》    B．《红与黑》    c．《人间喜剧》    D．《战争与和平》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18．世纪以来的世界文学艺术流派众多，异彩纷呈。下列人物与作品对应不正确的是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A．巴尔扎克——《唐磺》        B．列夫• 托尔斯泰——《战争与和平》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C．凡•高——《向日葵》         D．贝多芬——《英雄交响曲》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lastRenderedPageBreak/>
        <w:t>19．19世纪以来的世界文学艺术流派众多，群星璀璨。下列人物与作品对应正确的是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 A．拜伦——《唐璜》    B．巴尔扎克——《战争与和平》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 </w:t>
      </w:r>
      <w:r w:rsidRPr="00BE51C5">
        <w:rPr>
          <w:rFonts w:asciiTheme="minorEastAsia" w:eastAsiaTheme="minorEastAsia" w:hAnsiTheme="minorEastAsia" w:cstheme="minorBidi"/>
          <w:szCs w:val="21"/>
        </w:rPr>
        <w:t>C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>．毕加索——《向日葵》    D。列夫·托尔斯泰——《人间喜剧》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20．某学者准备给中学生作有关19 世纪中叶批判现实主义文学的报告。下列作品与报告内容直接相关的是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①《人间喜剧》   ②《第三交响曲》    ③《格尔尼卡》    ④《战争与和平》 </w:t>
      </w:r>
    </w:p>
    <w:p w:rsidR="00BE51C5" w:rsidRPr="00BE51C5" w:rsidRDefault="00BE51C5" w:rsidP="00BE51C5">
      <w:pPr>
        <w:spacing w:line="360" w:lineRule="exact"/>
        <w:ind w:firstLineChars="200" w:firstLine="420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A．①②       B．②③    C．③④     D．①④ 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 w:hint="eastAsia"/>
          <w:szCs w:val="21"/>
        </w:rPr>
        <w:t>21</w:t>
      </w:r>
      <w:r w:rsidRPr="00BE51C5">
        <w:rPr>
          <w:rFonts w:asciiTheme="minorEastAsia" w:eastAsiaTheme="minorEastAsia" w:hAnsiTheme="minorEastAsia" w:cstheme="minorBidi"/>
          <w:szCs w:val="21"/>
        </w:rPr>
        <w:t>．贝多芬的作品洋溢着英雄主义和乐观主义气息。他曾视拿破仑为英雄，并为他谱写了</w:t>
      </w:r>
    </w:p>
    <w:p w:rsidR="00BE51C5" w:rsidRPr="00BE51C5" w:rsidRDefault="00BE51C5" w:rsidP="00BE51C5">
      <w:pPr>
        <w:spacing w:line="360" w:lineRule="exact"/>
        <w:rPr>
          <w:rFonts w:asciiTheme="minorEastAsia" w:eastAsiaTheme="minorEastAsia" w:hAnsiTheme="minorEastAsia" w:cstheme="minorBidi"/>
          <w:szCs w:val="21"/>
        </w:rPr>
      </w:pPr>
      <w:r w:rsidRPr="00BE51C5">
        <w:rPr>
          <w:rFonts w:asciiTheme="minorEastAsia" w:eastAsiaTheme="minorEastAsia" w:hAnsiTheme="minorEastAsia" w:cstheme="minorBidi"/>
          <w:szCs w:val="21"/>
        </w:rPr>
        <w:t xml:space="preserve">    A．《命运交响曲》    B．《田园交响曲》    C．《英雄交响曲》</w:t>
      </w:r>
      <w:r w:rsidRPr="00BE51C5">
        <w:rPr>
          <w:rFonts w:asciiTheme="minorEastAsia" w:eastAsiaTheme="minorEastAsia" w:hAnsiTheme="minorEastAsia" w:cstheme="minorBidi" w:hint="eastAsia"/>
          <w:szCs w:val="21"/>
        </w:rPr>
        <w:t xml:space="preserve">   </w:t>
      </w:r>
      <w:r w:rsidRPr="00BE51C5">
        <w:rPr>
          <w:rFonts w:asciiTheme="minorEastAsia" w:eastAsiaTheme="minorEastAsia" w:hAnsiTheme="minorEastAsia" w:cstheme="minorBidi"/>
          <w:szCs w:val="21"/>
        </w:rPr>
        <w:t>D．《合唱交响曲》</w:t>
      </w:r>
    </w:p>
    <w:p w:rsidR="00BE51C5" w:rsidRPr="00BE51C5" w:rsidRDefault="00BE51C5" w:rsidP="00BE51C5">
      <w:pPr>
        <w:rPr>
          <w:rFonts w:asciiTheme="minorHAnsi" w:eastAsiaTheme="minorEastAsia" w:hAnsiTheme="minorHAnsi" w:cstheme="minorBidi"/>
          <w:sz w:val="24"/>
        </w:rPr>
      </w:pPr>
    </w:p>
    <w:p w:rsidR="00C64BFA" w:rsidRPr="00BE51C5" w:rsidRDefault="00C64BFA" w:rsidP="00BE51C5">
      <w:pPr>
        <w:rPr>
          <w:sz w:val="24"/>
        </w:rPr>
      </w:pPr>
    </w:p>
    <w:sectPr w:rsidR="00C64BFA" w:rsidRPr="00BE51C5" w:rsidSect="00C64BF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BFA" w:rsidRDefault="00C64BFA" w:rsidP="00C64BFA">
      <w:r>
        <w:separator/>
      </w:r>
    </w:p>
  </w:endnote>
  <w:endnote w:type="continuationSeparator" w:id="0">
    <w:p w:rsidR="00C64BFA" w:rsidRDefault="00C64BFA" w:rsidP="00C64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BFA" w:rsidRDefault="00C64BFA" w:rsidP="00C64BFA">
      <w:r>
        <w:separator/>
      </w:r>
    </w:p>
  </w:footnote>
  <w:footnote w:type="continuationSeparator" w:id="0">
    <w:p w:rsidR="00C64BFA" w:rsidRDefault="00C64BFA" w:rsidP="00C64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A272CE"/>
    <w:multiLevelType w:val="hybridMultilevel"/>
    <w:tmpl w:val="8480A17E"/>
    <w:lvl w:ilvl="0" w:tplc="0C36C1F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F21B39"/>
    <w:multiLevelType w:val="multilevel"/>
    <w:tmpl w:val="6DF21B39"/>
    <w:lvl w:ilvl="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73815F31"/>
    <w:multiLevelType w:val="hybridMultilevel"/>
    <w:tmpl w:val="15D4E9D0"/>
    <w:lvl w:ilvl="0" w:tplc="867E3314">
      <w:start w:val="1"/>
      <w:numFmt w:val="decimal"/>
      <w:lvlText w:val="（%1）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BFA"/>
    <w:rsid w:val="005A5BBC"/>
    <w:rsid w:val="008916ED"/>
    <w:rsid w:val="00BE51C5"/>
    <w:rsid w:val="00C64BFA"/>
    <w:rsid w:val="00F1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63DE522-D0B9-4895-BBC3-4FE91F306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BF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4B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4BF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64B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4BFA"/>
    <w:rPr>
      <w:sz w:val="18"/>
      <w:szCs w:val="18"/>
    </w:rPr>
  </w:style>
  <w:style w:type="paragraph" w:styleId="a5">
    <w:name w:val="List Paragraph"/>
    <w:basedOn w:val="a"/>
    <w:uiPriority w:val="34"/>
    <w:qFormat/>
    <w:rsid w:val="00C64BFA"/>
    <w:pPr>
      <w:ind w:firstLineChars="200" w:firstLine="420"/>
    </w:pPr>
  </w:style>
  <w:style w:type="character" w:customStyle="1" w:styleId="Char1">
    <w:name w:val="纯文本 Char"/>
    <w:basedOn w:val="a0"/>
    <w:link w:val="a6"/>
    <w:rsid w:val="00C64BFA"/>
    <w:rPr>
      <w:rFonts w:ascii="宋体" w:eastAsia="宋体" w:hAnsi="Courier New"/>
      <w:szCs w:val="21"/>
    </w:rPr>
  </w:style>
  <w:style w:type="paragraph" w:customStyle="1" w:styleId="019">
    <w:name w:val="正文_0_19"/>
    <w:rsid w:val="00C64BF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6">
    <w:name w:val="Plain Text"/>
    <w:basedOn w:val="a"/>
    <w:link w:val="Char1"/>
    <w:rsid w:val="00C64BFA"/>
    <w:rPr>
      <w:rFonts w:ascii="宋体" w:hAnsi="Courier New" w:cstheme="minorBidi"/>
      <w:szCs w:val="21"/>
    </w:rPr>
  </w:style>
  <w:style w:type="character" w:customStyle="1" w:styleId="Char10">
    <w:name w:val="纯文本 Char1"/>
    <w:basedOn w:val="a0"/>
    <w:uiPriority w:val="99"/>
    <w:semiHidden/>
    <w:rsid w:val="00C64BFA"/>
    <w:rPr>
      <w:rFonts w:ascii="宋体" w:eastAsia="宋体" w:hAnsi="Courier New" w:cs="Courier New"/>
      <w:szCs w:val="21"/>
    </w:rPr>
  </w:style>
  <w:style w:type="paragraph" w:customStyle="1" w:styleId="1">
    <w:name w:val="列出段落1"/>
    <w:basedOn w:val="a"/>
    <w:rsid w:val="00C64BFA"/>
    <w:pPr>
      <w:ind w:firstLineChars="200" w:firstLine="420"/>
    </w:pPr>
    <w:rPr>
      <w:rFonts w:eastAsia="MS Gothic" w:cs="MS Gothic"/>
      <w:szCs w:val="21"/>
    </w:rPr>
  </w:style>
  <w:style w:type="paragraph" w:customStyle="1" w:styleId="119">
    <w:name w:val="正文_1_19"/>
    <w:rsid w:val="00C64BF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214">
    <w:name w:val="正文_2_14"/>
    <w:rsid w:val="00C64BF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7">
    <w:name w:val="Balloon Text"/>
    <w:basedOn w:val="a"/>
    <w:link w:val="Char2"/>
    <w:uiPriority w:val="99"/>
    <w:semiHidden/>
    <w:unhideWhenUsed/>
    <w:rsid w:val="00C64BFA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C64BFA"/>
    <w:rPr>
      <w:rFonts w:ascii="Times New Roman" w:eastAsia="宋体" w:hAnsi="Times New Roman" w:cs="Times New Roman"/>
      <w:sz w:val="18"/>
      <w:szCs w:val="18"/>
    </w:rPr>
  </w:style>
  <w:style w:type="paragraph" w:customStyle="1" w:styleId="a8">
    <w:name w:val="æ™®¡¡¡¡¡¡¨?¬¬¬¦€š?ç½¡®ç«™"/>
    <w:basedOn w:val="a"/>
    <w:rsid w:val="005A5BBC"/>
    <w:pPr>
      <w:autoSpaceDE w:val="0"/>
      <w:autoSpaceDN w:val="0"/>
      <w:adjustRightInd w:val="0"/>
      <w:spacing w:before="100" w:after="100"/>
      <w:jc w:val="left"/>
    </w:pPr>
    <w:rPr>
      <w:rFonts w:ascii="Arial Unicode MS" w:hAnsi="Arial Unicode MS" w:cs="宋体"/>
      <w:kern w:val="0"/>
      <w:sz w:val="24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2385</Characters>
  <Application>Microsoft Office Word</Application>
  <DocSecurity>0</DocSecurity>
  <Lines>19</Lines>
  <Paragraphs>5</Paragraphs>
  <ScaleCrop>false</ScaleCrop>
  <Company>Microsoft</Company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Windows User</cp:lastModifiedBy>
  <cp:revision>2</cp:revision>
  <dcterms:created xsi:type="dcterms:W3CDTF">2018-12-28T13:49:00Z</dcterms:created>
  <dcterms:modified xsi:type="dcterms:W3CDTF">2018-12-28T13:49:00Z</dcterms:modified>
</cp:coreProperties>
</file>