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25A2">
      <w:pPr>
        <w:ind w:firstLine="2108" w:firstLineChars="1000"/>
        <w:rPr>
          <w:rFonts w:hint="eastAsia" w:ascii="黑体" w:hAnsi="黑体" w:eastAsia="黑体" w:cs="黑体"/>
          <w:b/>
          <w:bCs/>
          <w:lang w:val="en-US" w:eastAsia="zh-CN"/>
        </w:rPr>
      </w:pPr>
      <w:r>
        <w:rPr>
          <w:rFonts w:hint="eastAsia" w:ascii="黑体" w:hAnsi="黑体" w:eastAsia="黑体" w:cs="黑体"/>
          <w:b/>
          <w:bCs/>
          <w:lang w:val="en-US" w:eastAsia="zh-CN"/>
        </w:rPr>
        <w:t>2025年安徽省高考历史卷分析及复习备考启示</w:t>
      </w:r>
      <w:bookmarkStart w:id="0" w:name="_GoBack"/>
      <w:bookmarkEnd w:id="0"/>
    </w:p>
    <w:p w14:paraId="6A465202">
      <w:pPr>
        <w:ind w:firstLine="1897" w:firstLineChars="900"/>
        <w:rPr>
          <w:rFonts w:hint="default" w:ascii="黑体" w:hAnsi="黑体" w:eastAsia="黑体" w:cs="黑体"/>
          <w:b/>
          <w:bCs/>
          <w:lang w:val="en-US" w:eastAsia="zh-CN"/>
        </w:rPr>
      </w:pPr>
      <w:r>
        <w:rPr>
          <w:rFonts w:hint="eastAsia" w:ascii="黑体" w:hAnsi="黑体" w:eastAsia="黑体" w:cs="黑体"/>
          <w:b/>
          <w:bCs/>
          <w:lang w:val="en-US" w:eastAsia="zh-CN"/>
        </w:rPr>
        <w:t xml:space="preserve">         安徽太和   张祖良</w:t>
      </w:r>
    </w:p>
    <w:p w14:paraId="0051EE70">
      <w:pPr>
        <w:pStyle w:val="2"/>
        <w:keepNext w:val="0"/>
        <w:keepLines w:val="0"/>
        <w:pageBreakBefore w:val="0"/>
        <w:widowControl/>
        <w:suppressLineNumbers w:val="0"/>
        <w:kinsoku/>
        <w:wordWrap/>
        <w:overflowPunct/>
        <w:topLinePunct w:val="0"/>
        <w:autoSpaceDE/>
        <w:bidi w:val="0"/>
        <w:adjustRightInd/>
        <w:snapToGrid/>
        <w:spacing w:beforeAutospacing="0" w:afterAutospacing="0" w:line="0" w:lineRule="atLeast"/>
        <w:ind w:firstLine="2891" w:firstLineChars="1200"/>
        <w:jc w:val="both"/>
        <w:textAlignment w:val="auto"/>
        <w:rPr>
          <w:rFonts w:hint="eastAsia" w:ascii="黑体" w:hAnsi="黑体" w:eastAsia="黑体" w:cs="黑体"/>
          <w:b/>
          <w:bCs/>
          <w:sz w:val="48"/>
          <w:szCs w:val="48"/>
          <w:highlight w:val="cyan"/>
        </w:rPr>
      </w:pPr>
      <w:r>
        <w:rPr>
          <w:rFonts w:hint="eastAsia" w:ascii="黑体" w:hAnsi="黑体" w:eastAsia="黑体" w:cs="黑体"/>
          <w:b/>
          <w:bCs/>
          <w:caps w:val="0"/>
          <w:sz w:val="24"/>
          <w:szCs w:val="24"/>
          <w:highlight w:val="cyan"/>
          <w:lang w:val="en-US" w:eastAsia="zh-CN"/>
        </w:rPr>
        <w:t>一、</w:t>
      </w:r>
      <w:r>
        <w:rPr>
          <w:rFonts w:hint="eastAsia" w:ascii="黑体" w:hAnsi="黑体" w:eastAsia="黑体" w:cs="黑体"/>
          <w:b/>
          <w:bCs/>
          <w:caps w:val="0"/>
          <w:sz w:val="24"/>
          <w:szCs w:val="24"/>
          <w:highlight w:val="cyan"/>
        </w:rPr>
        <w:t xml:space="preserve"> </w:t>
      </w:r>
      <w:r>
        <w:rPr>
          <w:rFonts w:hint="eastAsia" w:ascii="黑体" w:hAnsi="黑体" w:eastAsia="黑体" w:cs="黑体"/>
          <w:b/>
          <w:bCs/>
          <w:caps w:val="0"/>
          <w:sz w:val="24"/>
          <w:szCs w:val="24"/>
          <w:highlight w:val="cyan"/>
          <w:lang w:val="en-US" w:eastAsia="zh-CN"/>
        </w:rPr>
        <w:t>安徽</w:t>
      </w:r>
      <w:r>
        <w:rPr>
          <w:rFonts w:hint="eastAsia" w:ascii="黑体" w:hAnsi="黑体" w:eastAsia="黑体" w:cs="黑体"/>
          <w:b/>
          <w:bCs/>
          <w:caps w:val="0"/>
          <w:sz w:val="24"/>
          <w:szCs w:val="24"/>
          <w:highlight w:val="cyan"/>
        </w:rPr>
        <w:t>卷结构</w:t>
      </w:r>
    </w:p>
    <w:tbl>
      <w:tblPr>
        <w:tblStyle w:val="3"/>
        <w:tblW w:w="4973"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6"/>
        <w:gridCol w:w="1201"/>
        <w:gridCol w:w="1739"/>
        <w:gridCol w:w="1431"/>
        <w:gridCol w:w="1468"/>
        <w:gridCol w:w="1982"/>
      </w:tblGrid>
      <w:tr w14:paraId="28050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1"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E9D8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题号</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8FB2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lang w:val="en-US" w:eastAsia="zh-CN"/>
              </w:rPr>
              <w:t>时空</w:t>
            </w:r>
            <w:r>
              <w:rPr>
                <w:rFonts w:hint="eastAsia" w:ascii="楷体" w:hAnsi="楷体" w:eastAsia="楷体" w:cs="楷体"/>
                <w:b/>
                <w:bCs/>
                <w:caps w:val="0"/>
                <w:sz w:val="18"/>
                <w:szCs w:val="18"/>
                <w:vertAlign w:val="baseline"/>
              </w:rPr>
              <w:t>模块</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FC3A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rPr>
              <w:t>情境</w:t>
            </w:r>
            <w:r>
              <w:rPr>
                <w:rFonts w:hint="eastAsia" w:ascii="楷体" w:hAnsi="楷体" w:eastAsia="楷体" w:cs="楷体"/>
                <w:b/>
                <w:bCs/>
                <w:caps w:val="0"/>
                <w:sz w:val="18"/>
                <w:szCs w:val="18"/>
                <w:vertAlign w:val="baseline"/>
                <w:lang w:val="en-US" w:eastAsia="zh-CN"/>
              </w:rPr>
              <w:t>切入</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8527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设问方式</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1CF42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必备知识</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1FE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关键能力</w:t>
            </w:r>
          </w:p>
        </w:tc>
      </w:tr>
      <w:tr w14:paraId="4BEF6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6FDC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C7DB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41BCDB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（先秦）</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DE167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（文字）</w:t>
            </w:r>
          </w:p>
          <w:p w14:paraId="6894A9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商代建筑功能</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3896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据此可知，当时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8239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商代</w:t>
            </w:r>
            <w:r>
              <w:rPr>
                <w:rFonts w:hint="eastAsia" w:ascii="楷体" w:hAnsi="楷体" w:eastAsia="楷体" w:cs="楷体"/>
                <w:b/>
                <w:bCs/>
                <w:caps w:val="0"/>
                <w:sz w:val="18"/>
                <w:szCs w:val="18"/>
                <w:vertAlign w:val="baseline"/>
              </w:rPr>
              <w:t>的</w:t>
            </w:r>
            <w:r>
              <w:rPr>
                <w:rFonts w:hint="eastAsia" w:ascii="楷体" w:hAnsi="楷体" w:eastAsia="楷体" w:cs="楷体"/>
                <w:b/>
                <w:bCs/>
                <w:caps w:val="0"/>
                <w:sz w:val="18"/>
                <w:szCs w:val="18"/>
                <w:vertAlign w:val="baseline"/>
                <w:lang w:val="en-US" w:eastAsia="zh-CN"/>
              </w:rPr>
              <w:t>社会治理</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16E8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79C84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3069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2</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0073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5A22A1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北周</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53B5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文言文）</w:t>
            </w:r>
          </w:p>
          <w:p w14:paraId="684B4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安国粟特人墓志</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EB3F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这可用以佐证，北周时期</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DDBE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北周时期的民族交融</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6F91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 xml:space="preserve"> 调动和运用知识</w:t>
            </w:r>
          </w:p>
        </w:tc>
      </w:tr>
      <w:tr w14:paraId="6BEDF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AA66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3</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03A3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131778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（唐）</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F160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文言文</w:t>
            </w:r>
            <w:r>
              <w:rPr>
                <w:rFonts w:hint="eastAsia" w:ascii="楷体" w:hAnsi="楷体" w:eastAsia="楷体" w:cs="楷体"/>
                <w:b/>
                <w:bCs/>
                <w:caps w:val="0"/>
                <w:sz w:val="18"/>
                <w:szCs w:val="18"/>
                <w:vertAlign w:val="baseline"/>
              </w:rPr>
              <w:t>）两税法户税征钱，地税征谷物</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D888E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这可用以说明，当时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05C9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唐代赋税改革</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AC6C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56D08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E310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4</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44A7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34BF88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南宋</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5B59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文言文</w:t>
            </w:r>
            <w:r>
              <w:rPr>
                <w:rFonts w:hint="eastAsia" w:ascii="楷体" w:hAnsi="楷体" w:eastAsia="楷体" w:cs="楷体"/>
                <w:b/>
                <w:bCs/>
                <w:caps w:val="0"/>
                <w:sz w:val="18"/>
                <w:szCs w:val="18"/>
                <w:vertAlign w:val="baseline"/>
              </w:rPr>
              <w:t>）</w:t>
            </w:r>
          </w:p>
          <w:p w14:paraId="6B4E2A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南宋佃农契券</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2736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这反映了，南宋时期</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5E5C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宋代社会的变化</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2C4CA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获取和解读信息</w:t>
            </w:r>
          </w:p>
        </w:tc>
      </w:tr>
      <w:tr w14:paraId="40235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5CB8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5</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4281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58DB59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（明）</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6AB1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rPr>
            </w:pPr>
            <w:r>
              <w:rPr>
                <w:rFonts w:hint="eastAsia" w:ascii="楷体" w:hAnsi="楷体" w:eastAsia="楷体" w:cs="楷体"/>
                <w:b/>
                <w:bCs/>
                <w:caps w:val="0"/>
                <w:sz w:val="18"/>
                <w:szCs w:val="18"/>
              </w:rPr>
              <w:t>（表格）</w:t>
            </w:r>
          </w:p>
          <w:p w14:paraId="7D0CCE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default" w:ascii="楷体" w:hAnsi="楷体" w:eastAsia="楷体" w:cs="楷体"/>
                <w:b/>
                <w:bCs/>
                <w:sz w:val="18"/>
                <w:szCs w:val="18"/>
                <w:lang w:val="en-US" w:eastAsia="zh-CN"/>
              </w:rPr>
            </w:pPr>
            <w:r>
              <w:rPr>
                <w:rFonts w:hint="eastAsia" w:ascii="楷体" w:hAnsi="楷体" w:eastAsia="楷体" w:cs="楷体"/>
                <w:b/>
                <w:bCs/>
                <w:caps w:val="0"/>
                <w:sz w:val="18"/>
                <w:szCs w:val="18"/>
              </w:rPr>
              <w:t>农户年经营</w:t>
            </w:r>
            <w:r>
              <w:rPr>
                <w:rFonts w:hint="eastAsia" w:ascii="楷体" w:hAnsi="楷体" w:eastAsia="楷体" w:cs="楷体"/>
                <w:b/>
                <w:bCs/>
                <w:caps w:val="0"/>
                <w:sz w:val="18"/>
                <w:szCs w:val="18"/>
                <w:lang w:val="en-US" w:eastAsia="zh-CN"/>
              </w:rPr>
              <w:t>农书</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7F38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据此判断，该地区</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458D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明代农产品商品化</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FAFD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 xml:space="preserve"> 调动和运用知识</w:t>
            </w:r>
          </w:p>
        </w:tc>
      </w:tr>
      <w:tr w14:paraId="720D3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399E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6</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BEF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中国近代史</w:t>
            </w:r>
          </w:p>
          <w:p w14:paraId="7EF596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（晚清）</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87CE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文言文）</w:t>
            </w:r>
          </w:p>
          <w:p w14:paraId="26FF51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一份公文</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A987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与此“描述”相关的史实是</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6ED0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清末新政</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C6F0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理解历史叙述与历史结论</w:t>
            </w:r>
          </w:p>
        </w:tc>
      </w:tr>
      <w:tr w14:paraId="2FD27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F0B8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7</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1FA0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中国近代史</w:t>
            </w:r>
          </w:p>
          <w:p w14:paraId="0D19B4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（民国）</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B9D4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表格）</w:t>
            </w:r>
          </w:p>
          <w:p w14:paraId="041E7C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《大公报》四则广告</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971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这可用以说明，抗日战争</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C8AF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抗日战争</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3643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6CA438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04A2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8</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A72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中国现代史</w:t>
            </w:r>
          </w:p>
          <w:p w14:paraId="0A3400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新中国初</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B7DB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rPr>
            </w:pPr>
            <w:r>
              <w:rPr>
                <w:rFonts w:hint="eastAsia" w:ascii="楷体" w:hAnsi="楷体" w:eastAsia="楷体" w:cs="楷体"/>
                <w:b/>
                <w:bCs/>
                <w:caps w:val="0"/>
                <w:sz w:val="18"/>
                <w:szCs w:val="18"/>
              </w:rPr>
              <w:t>（</w:t>
            </w:r>
            <w:r>
              <w:rPr>
                <w:rFonts w:hint="eastAsia" w:ascii="楷体" w:hAnsi="楷体" w:eastAsia="楷体" w:cs="楷体"/>
                <w:b/>
                <w:bCs/>
                <w:caps w:val="0"/>
                <w:sz w:val="18"/>
                <w:szCs w:val="18"/>
                <w:lang w:val="en-US" w:eastAsia="zh-CN"/>
              </w:rPr>
              <w:t>文字</w:t>
            </w:r>
            <w:r>
              <w:rPr>
                <w:rFonts w:hint="eastAsia" w:ascii="楷体" w:hAnsi="楷体" w:eastAsia="楷体" w:cs="楷体"/>
                <w:b/>
                <w:bCs/>
                <w:caps w:val="0"/>
                <w:sz w:val="18"/>
                <w:szCs w:val="18"/>
              </w:rPr>
              <w:t>）</w:t>
            </w:r>
          </w:p>
          <w:p w14:paraId="2A9CD6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1951年财经工作</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DC5A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84A8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国民经济恢复</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2AB6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2CC6D8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784F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9</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B915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中国现代史</w:t>
            </w:r>
          </w:p>
          <w:p w14:paraId="6B6D08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（改革开放）</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8133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lang w:val="en-US" w:eastAsia="zh-CN"/>
              </w:rPr>
            </w:pPr>
            <w:r>
              <w:rPr>
                <w:rFonts w:hint="eastAsia" w:ascii="楷体" w:hAnsi="楷体" w:eastAsia="楷体" w:cs="楷体"/>
                <w:b/>
                <w:bCs/>
                <w:caps w:val="0"/>
                <w:sz w:val="18"/>
                <w:szCs w:val="18"/>
                <w:lang w:eastAsia="zh-CN"/>
              </w:rPr>
              <w:t>（</w:t>
            </w:r>
            <w:r>
              <w:rPr>
                <w:rFonts w:hint="eastAsia" w:ascii="楷体" w:hAnsi="楷体" w:eastAsia="楷体" w:cs="楷体"/>
                <w:b/>
                <w:bCs/>
                <w:caps w:val="0"/>
                <w:sz w:val="18"/>
                <w:szCs w:val="18"/>
                <w:lang w:val="en-US" w:eastAsia="zh-CN"/>
              </w:rPr>
              <w:t>文字）</w:t>
            </w:r>
          </w:p>
          <w:p w14:paraId="5705B0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陕西农民日记</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FB7F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这反映了</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D62A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经济体制改革</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FD62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5EAB4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9C04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10</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972A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世界上古史</w:t>
            </w:r>
          </w:p>
          <w:p w14:paraId="01D511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印度</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61BB7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lang w:val="en-US" w:eastAsia="zh-CN"/>
              </w:rPr>
            </w:pPr>
            <w:r>
              <w:rPr>
                <w:rFonts w:hint="eastAsia" w:ascii="楷体" w:hAnsi="楷体" w:eastAsia="楷体" w:cs="楷体"/>
                <w:b/>
                <w:bCs/>
                <w:caps w:val="0"/>
                <w:sz w:val="18"/>
                <w:szCs w:val="18"/>
                <w:lang w:eastAsia="zh-CN"/>
              </w:rPr>
              <w:t>（</w:t>
            </w:r>
            <w:r>
              <w:rPr>
                <w:rFonts w:hint="eastAsia" w:ascii="楷体" w:hAnsi="楷体" w:eastAsia="楷体" w:cs="楷体"/>
                <w:b/>
                <w:bCs/>
                <w:caps w:val="0"/>
                <w:sz w:val="18"/>
                <w:szCs w:val="18"/>
                <w:lang w:val="en-US" w:eastAsia="zh-CN"/>
              </w:rPr>
              <w:t>文字）</w:t>
            </w:r>
          </w:p>
          <w:p w14:paraId="7CEA1C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据铭文载孔雀帝国阿育王</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AAA4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由此可见</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C59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rPr>
              <w:t>古代</w:t>
            </w:r>
            <w:r>
              <w:rPr>
                <w:rFonts w:hint="eastAsia" w:ascii="楷体" w:hAnsi="楷体" w:eastAsia="楷体" w:cs="楷体"/>
                <w:b/>
                <w:bCs/>
                <w:caps w:val="0"/>
                <w:sz w:val="18"/>
                <w:szCs w:val="18"/>
                <w:vertAlign w:val="baseline"/>
                <w:lang w:val="en-US" w:eastAsia="zh-CN"/>
              </w:rPr>
              <w:t>印度</w:t>
            </w:r>
          </w:p>
          <w:p w14:paraId="4DD653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史学研究</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A631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5C42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0283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11</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73D8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世界中古史</w:t>
            </w:r>
          </w:p>
          <w:p w14:paraId="0BA7E4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阿拉伯</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6730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阿拉伯民间故事集</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7926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D6C9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古代阿拉伯</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7E33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234E6D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D313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12</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1E0C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世界近代史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A7032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里斯本科学院一幅地图</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8B17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eastAsia="zh-CN"/>
              </w:rPr>
            </w:pPr>
            <w:r>
              <w:rPr>
                <w:rFonts w:hint="eastAsia" w:ascii="楷体" w:hAnsi="楷体" w:eastAsia="楷体" w:cs="楷体"/>
                <w:b/>
                <w:bCs/>
                <w:caps w:val="0"/>
                <w:sz w:val="18"/>
                <w:szCs w:val="18"/>
                <w:lang w:val="en-US" w:eastAsia="zh-CN"/>
              </w:rPr>
              <w:t>这</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ACCD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早期殖民扩张</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E4CF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243B3F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550D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13</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7AD1938">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B653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北美独立运动</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A59C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这反映了，当时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9682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北美独立运动</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B66C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整理材料，最大限度地获取有效信息</w:t>
            </w:r>
          </w:p>
        </w:tc>
      </w:tr>
      <w:tr w14:paraId="1A7D93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BC8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14</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677F3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08A9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比利时修建刚果展馆</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8F1E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这种“展示”旨在</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5072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殖民侵略与文化传播</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87B39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02AEF9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1185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15</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8766DE">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4348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rPr>
              <w:t>《共产党宣言》</w:t>
            </w:r>
            <w:r>
              <w:rPr>
                <w:rFonts w:hint="eastAsia" w:ascii="楷体" w:hAnsi="楷体" w:eastAsia="楷体" w:cs="楷体"/>
                <w:b/>
                <w:bCs/>
                <w:sz w:val="18"/>
                <w:szCs w:val="18"/>
                <w:lang w:val="en-US" w:eastAsia="zh-CN"/>
              </w:rPr>
              <w:t>的传播</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5229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47530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马克思主义传播</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A79A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说明历史现象和历史观点</w:t>
            </w:r>
          </w:p>
        </w:tc>
      </w:tr>
      <w:tr w14:paraId="11591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FFF0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16</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1076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世界现代史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602E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《欧共体—美国关系宣言》</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1B4B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这表明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F2B9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世界多极化趋势</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EF2C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说明历史现象和历史观点</w:t>
            </w:r>
          </w:p>
        </w:tc>
      </w:tr>
      <w:tr w14:paraId="7B032C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1" w:hRule="atLeast"/>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528A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17</w:t>
            </w:r>
            <w:r>
              <w:rPr>
                <w:rFonts w:hint="eastAsia" w:ascii="楷体" w:hAnsi="楷体" w:eastAsia="楷体" w:cs="楷体"/>
                <w:b/>
                <w:bCs/>
                <w:sz w:val="18"/>
                <w:szCs w:val="18"/>
              </w:rPr>
              <w:t xml:space="preserve">        </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E8F4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中国史综合</w:t>
            </w:r>
          </w:p>
        </w:tc>
        <w:tc>
          <w:tcPr>
            <w:tcW w:w="102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CCA4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lang w:val="en-US" w:eastAsia="zh-CN"/>
              </w:rPr>
              <w:t>大禹时代五服</w:t>
            </w:r>
            <w:r>
              <w:rPr>
                <w:rFonts w:hint="eastAsia" w:ascii="楷体" w:hAnsi="楷体" w:eastAsia="楷体" w:cs="楷体"/>
                <w:b/>
                <w:bCs/>
                <w:caps w:val="0"/>
                <w:sz w:val="18"/>
                <w:szCs w:val="18"/>
              </w:rPr>
              <w:t>；</w:t>
            </w:r>
            <w:r>
              <w:rPr>
                <w:rFonts w:hint="eastAsia" w:ascii="楷体" w:hAnsi="楷体" w:eastAsia="楷体" w:cs="楷体"/>
                <w:b/>
                <w:bCs/>
                <w:sz w:val="18"/>
                <w:szCs w:val="18"/>
                <w:lang w:val="en-US" w:eastAsia="zh-CN"/>
              </w:rPr>
              <w:t>西汉统一多民族国家；</w:t>
            </w:r>
          </w:p>
          <w:p w14:paraId="7E47C8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近代海防、塞防</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D756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概括</w:t>
            </w:r>
            <w:r>
              <w:rPr>
                <w:rFonts w:hint="eastAsia" w:ascii="楷体" w:hAnsi="楷体" w:eastAsia="楷体" w:cs="楷体"/>
                <w:b/>
                <w:bCs/>
                <w:sz w:val="18"/>
                <w:szCs w:val="18"/>
              </w:rPr>
              <w:t>天下观</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1537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五服</w:t>
            </w: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C42E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获取和解读信息；</w:t>
            </w:r>
          </w:p>
          <w:p w14:paraId="65FB37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rPr>
              <w:t>调动和运用知识</w:t>
            </w:r>
            <w:r>
              <w:rPr>
                <w:rFonts w:hint="eastAsia" w:ascii="楷体" w:hAnsi="楷体" w:eastAsia="楷体" w:cs="楷体"/>
                <w:b/>
                <w:bCs/>
                <w:caps w:val="0"/>
                <w:sz w:val="18"/>
                <w:szCs w:val="18"/>
                <w:vertAlign w:val="baseline"/>
                <w:lang w:val="en-US" w:eastAsia="zh-CN"/>
              </w:rPr>
              <w:t>；</w:t>
            </w:r>
          </w:p>
          <w:p w14:paraId="0E031B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描述和阐释事物</w:t>
            </w:r>
          </w:p>
          <w:p w14:paraId="45CC4F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p>
        </w:tc>
      </w:tr>
      <w:tr w14:paraId="66A35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8EBEFD">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C5AD7D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00C532">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AC22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归纳举措</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13C2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西汉多民族国家发展</w:t>
            </w: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7DCD0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67FFAA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1"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7098EC">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7AEFE50">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4ED13C">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DE9C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分析共同立足点</w:t>
            </w:r>
            <w:r>
              <w:rPr>
                <w:rFonts w:hint="eastAsia" w:ascii="楷体" w:hAnsi="楷体" w:eastAsia="楷体" w:cs="楷体"/>
                <w:b/>
                <w:bCs/>
                <w:caps w:val="0"/>
                <w:sz w:val="18"/>
                <w:szCs w:val="18"/>
              </w:rPr>
              <w:t>；</w:t>
            </w:r>
            <w:r>
              <w:rPr>
                <w:rFonts w:hint="eastAsia" w:ascii="楷体" w:hAnsi="楷体" w:eastAsia="楷体" w:cs="楷体"/>
                <w:b/>
                <w:bCs/>
                <w:sz w:val="18"/>
                <w:szCs w:val="18"/>
              </w:rPr>
              <w:t>阐释意义</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CC82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近代民族危机；中华民族共同体意识</w:t>
            </w: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BF20CB">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77584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1" w:hRule="atLeast"/>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471B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18</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B50D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世界史</w:t>
            </w:r>
          </w:p>
        </w:tc>
        <w:tc>
          <w:tcPr>
            <w:tcW w:w="102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036A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近代早期英国个人信用</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822B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简述原因</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C4C2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lang w:val="en-US" w:eastAsia="zh-CN"/>
              </w:rPr>
              <w:t>基层治理与</w:t>
            </w:r>
            <w:r>
              <w:rPr>
                <w:rFonts w:hint="eastAsia" w:ascii="楷体" w:hAnsi="楷体" w:eastAsia="楷体" w:cs="楷体"/>
                <w:b/>
                <w:bCs/>
                <w:sz w:val="18"/>
                <w:szCs w:val="18"/>
              </w:rPr>
              <w:t>英国信用</w:t>
            </w: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4C5D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获取和解读历史信息；</w:t>
            </w:r>
          </w:p>
          <w:p w14:paraId="1C92DE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分析历史问题</w:t>
            </w:r>
          </w:p>
        </w:tc>
      </w:tr>
      <w:tr w14:paraId="52595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4"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2A8065">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A7F3B6">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F93166">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3883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说明局限性</w:t>
            </w:r>
          </w:p>
        </w:tc>
        <w:tc>
          <w:tcPr>
            <w:tcW w:w="86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FD23EE">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242B60">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4706C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9"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BB4C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19</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A814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中国</w:t>
            </w:r>
            <w:r>
              <w:rPr>
                <w:rFonts w:hint="eastAsia" w:ascii="楷体" w:hAnsi="楷体" w:eastAsia="楷体" w:cs="楷体"/>
                <w:b/>
                <w:bCs/>
                <w:caps w:val="0"/>
                <w:sz w:val="18"/>
                <w:szCs w:val="18"/>
                <w:vertAlign w:val="baseline"/>
                <w:lang w:val="en-US" w:eastAsia="zh-CN"/>
              </w:rPr>
              <w:t>近现代</w:t>
            </w:r>
            <w:r>
              <w:rPr>
                <w:rFonts w:hint="eastAsia" w:ascii="楷体" w:hAnsi="楷体" w:eastAsia="楷体" w:cs="楷体"/>
                <w:b/>
                <w:bCs/>
                <w:caps w:val="0"/>
                <w:sz w:val="18"/>
                <w:szCs w:val="18"/>
                <w:vertAlign w:val="baseline"/>
              </w:rPr>
              <w:t>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DFB6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lang w:val="en-US" w:eastAsia="zh-CN"/>
              </w:rPr>
              <w:t>史料研究</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0132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任选角度</w:t>
            </w:r>
            <w:r>
              <w:rPr>
                <w:rFonts w:hint="eastAsia" w:ascii="楷体" w:hAnsi="楷体" w:eastAsia="楷体" w:cs="楷体"/>
                <w:b/>
                <w:bCs/>
                <w:sz w:val="18"/>
                <w:szCs w:val="18"/>
                <w:lang w:eastAsia="zh-CN"/>
              </w:rPr>
              <w:t>、</w:t>
            </w:r>
            <w:r>
              <w:rPr>
                <w:rFonts w:hint="eastAsia" w:ascii="楷体" w:hAnsi="楷体" w:eastAsia="楷体" w:cs="楷体"/>
                <w:b/>
                <w:bCs/>
                <w:caps w:val="0"/>
                <w:sz w:val="18"/>
                <w:szCs w:val="18"/>
              </w:rPr>
              <w:t>自拟论题，加以阐释</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A0C4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史学理论、</w:t>
            </w:r>
          </w:p>
          <w:p w14:paraId="59D2F9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中国近现代史</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96E2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获取和解读信息</w:t>
            </w:r>
          </w:p>
          <w:p w14:paraId="69DB22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调动和运用知识</w:t>
            </w:r>
          </w:p>
          <w:p w14:paraId="32ED4F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论证和探讨问题　</w:t>
            </w:r>
          </w:p>
        </w:tc>
      </w:tr>
    </w:tbl>
    <w:p w14:paraId="39372704">
      <w:pPr>
        <w:jc w:val="left"/>
        <w:rPr>
          <w:rFonts w:hint="eastAsia" w:ascii="楷体" w:hAnsi="楷体" w:eastAsia="楷体" w:cs="楷体"/>
          <w:b/>
          <w:bCs/>
          <w:sz w:val="18"/>
          <w:szCs w:val="18"/>
          <w:lang w:val="en-US" w:eastAsia="zh-CN"/>
        </w:rPr>
      </w:pPr>
    </w:p>
    <w:p w14:paraId="558B22EF">
      <w:pPr>
        <w:keepNext w:val="0"/>
        <w:keepLines w:val="0"/>
        <w:pageBreakBefore w:val="0"/>
        <w:widowControl w:val="0"/>
        <w:kinsoku/>
        <w:wordWrap/>
        <w:overflowPunct/>
        <w:topLinePunct w:val="0"/>
        <w:autoSpaceDE/>
        <w:autoSpaceDN/>
        <w:bidi w:val="0"/>
        <w:adjustRightInd/>
        <w:snapToGrid/>
        <w:spacing w:line="0" w:lineRule="atLeast"/>
        <w:ind w:firstLine="2951" w:firstLineChars="1400"/>
        <w:jc w:val="left"/>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highlight w:val="cyan"/>
          <w:lang w:val="en-US" w:eastAsia="zh-CN"/>
        </w:rPr>
        <w:t>二、安徽试卷评析</w:t>
      </w:r>
    </w:p>
    <w:p w14:paraId="0886B25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2025年安徽省高考历史卷遵循了中国高考评价体系的“立德树人、服务选才、引导教学”的核心功能。</w:t>
      </w:r>
    </w:p>
    <w:p w14:paraId="0D361CE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（一）、立德树人，注重考查核心价值</w:t>
      </w:r>
    </w:p>
    <w:p w14:paraId="46E09E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1.铸牢中华民族共同体意识，增强民族认同</w:t>
      </w:r>
    </w:p>
    <w:p w14:paraId="5B7FF14A">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统一多民族国家的建立、巩固、发展，民族交流、交往、交融构成了中国历史的主线，各民族为历史的发展作出贡献。2025年安徽卷第2题以北周官员安伽的墓志为情境，描述了安伽为安国粟特人，却称其先为黄帝苗裔，这表明少数民族受华夏文化影响，反映了北周时期多族群文化交融的特征。</w:t>
      </w:r>
    </w:p>
    <w:p w14:paraId="3CB76D1B">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安徽卷第17题以大禹时代的五服制、西汉疆域开拓、近代海防塞防之争为线索，展现了上古时代的天下观、西汉统一多民族国家的巩固、近代捍卫国家主权，挽救民族危机的意志。通过此题的考查，有利于学生增强民族凝聚力和向心力，促进民族认同、国家认同；有利于推动民族交融，传承中华文化，促进文化认同，为后世统一多民族国家发展奠定了基础。引领学生认识到民族团结是国家振兴的基石，从而筑牢学生的中华民族共同体意识、增强中华民族认同感。</w:t>
      </w:r>
    </w:p>
    <w:p w14:paraId="4DC343E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2.深化五史教育，增强国家认同</w:t>
      </w:r>
    </w:p>
    <w:p w14:paraId="07CF991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省高考历史试题通过选取新民主主义革命、社会主义革命、改革开放等历史时段的情境为线索，引导学生爱党、爱国、爱社会义。安徽卷第7题以抗日战争时期《大公报》刊载的广告为情境，广告如“浴血滕县，抗拒敌人”和“用国货爱国”等语直接融入抗战词汇，传播英勇的抗战精神，强化抗战意识。安徽卷第8题以1951年以扩大城乡交流为切入点，考查城乡互助有利于国民经济全面恢复，引导学生认识建国初期党的正确领导是国民经济恢复的重要保障，增强学生的国家认同。安徽卷第9题以1985年以</w:t>
      </w:r>
      <w:r>
        <w:rPr>
          <w:rFonts w:hint="eastAsia" w:ascii="楷体" w:hAnsi="楷体" w:eastAsia="楷体" w:cs="楷体"/>
          <w:b/>
          <w:bCs/>
          <w:sz w:val="20"/>
          <w:szCs w:val="20"/>
        </w:rPr>
        <w:t>陕西农民日记</w:t>
      </w:r>
      <w:r>
        <w:rPr>
          <w:rFonts w:hint="eastAsia" w:ascii="楷体" w:hAnsi="楷体" w:eastAsia="楷体" w:cs="楷体"/>
          <w:b/>
          <w:bCs/>
          <w:sz w:val="20"/>
          <w:szCs w:val="20"/>
          <w:lang w:val="en-US" w:eastAsia="zh-CN"/>
        </w:rPr>
        <w:t>为切入点，考查改革开放推动了农村经济、科技发展，电视机丰富了农民的精神生活，引导学生认识到改革开放是中国现代化建设的关键一招。      </w:t>
      </w:r>
    </w:p>
    <w:p w14:paraId="05449B4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　3.尊重各国文化传统，树立正确文化观</w:t>
      </w:r>
    </w:p>
    <w:p w14:paraId="34517D06">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具有广阔的世界视野，各国各民族为世界文化作出贡献，丰富了世界文化的多样性。2025年安徽卷第1题以甲骨文与金文记述商代建筑为情境，考查了商代建筑功能呈现专门化趋势。安徽卷第10题立足于世界文化的多样性特征，以孔雀帝国阿育王颁布的诏令为情境，展现了统治者以道德治国思想的转变；安徽卷第11题以阿拉伯民间故事集《一千零一夜》为情境，考查了商贸往来丰富了阿拉伯民间文学的内容。</w:t>
      </w:r>
    </w:p>
    <w:p w14:paraId="0902CF9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highlight w:val="green"/>
          <w:lang w:val="en-US" w:eastAsia="zh-CN"/>
        </w:rPr>
        <w:t>（二）、服务选才，注重试题设计</w:t>
      </w:r>
      <w:r>
        <w:rPr>
          <w:rFonts w:hint="eastAsia" w:ascii="楷体" w:hAnsi="楷体" w:eastAsia="楷体" w:cs="楷体"/>
          <w:b/>
          <w:bCs/>
          <w:sz w:val="20"/>
          <w:szCs w:val="20"/>
          <w:lang w:val="en-US" w:eastAsia="zh-CN"/>
        </w:rPr>
        <w:t> </w:t>
      </w:r>
    </w:p>
    <w:p w14:paraId="0C74A69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1.创新试题设问，突出关键能力</w:t>
      </w:r>
    </w:p>
    <w:p w14:paraId="02F6EB0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关键能力，是指即将进入高等学校的学习者在面对与学科相关的生活实践或学习探索问题情境时，有效地认识问题、分析问题、解决问题所必须具备的能力。历史学科关键能力包括获取和解读信息、调动和运用知识、描述和阐释事物、论证和探讨问题的能力。2025年安徽卷选择题设问大多为“说明”、“表明”、“反映”、“据此可知”、“据此判断”、“这可佐证”等，对考生获取和解读信息、调动和运用知识的关键能力提出了较高要求。2025年安徽卷第1题以商代建筑名称为切入点，引导学生获取和解读题干信息、调动所学知识分析判断的关键能力。安徽卷第5题以明末江南地区农户年经营状况的农书为切入点，引导学生读懂表格，提取获取和解读表格信息、调动所学知识分析判断的关键能力。</w:t>
      </w:r>
    </w:p>
    <w:p w14:paraId="3F18F2C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2.优化情境设置，突出思维品质 </w:t>
      </w:r>
    </w:p>
    <w:p w14:paraId="1707DC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高考历史试题注重优化情境设置，增加试题的生活性、社会性、学术性，强调对核心素养的考查。安徽卷图文并茂，有文字类、表格类、图片类试题。安徽卷文字类选择题，题干增加文言文的阅读量，如第2、3、4、6题，增加了试题的难度。安徽卷情境设置多样，如以墓志、农书、广告、日记、诏令、民间故事、地图、展馆为情境切入，考察学生在新情境下调动运用所学知识，分析问题解决问题的能力。</w:t>
      </w:r>
    </w:p>
    <w:p w14:paraId="19C3E233">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高考历史强调综合运用科学方法与理性思维对历史现象进行梳理、论证和探讨。安徽卷第17题“综合材料一、二、三并结合所学知识，阐释六合一家思想观念的意义”，考查民族认同、国家认同、文化认同，维护统一多民族国家的发展。安徽卷第18题“说明近代早期英国所重视的信用标准的局限性”，考查了学生的批判性思维，认识到资本主义制度下信用标准的局限性。</w:t>
      </w:r>
    </w:p>
    <w:p w14:paraId="3E9F266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3、注重史料情境，突出史学理论</w:t>
      </w:r>
    </w:p>
    <w:p w14:paraId="53603A2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 xml:space="preserve">   史料实证、历史解释是高中历史核心素养的重要内容，2025年安徽卷历史突出考查史学理论知识。安徽卷第2题实物史料墓志佐证北周时期“多族群文化交融的特征”；安徽卷第10题实物史料印度碑刻铭文反映了“统治者认识的转变”；安徽卷第19题以戴逸的“采集史料---研究史料----科学抽象----认识规律”为切入点，考查史料实证、历史解释能力。</w:t>
      </w:r>
    </w:p>
    <w:p w14:paraId="0B6DAB4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（三）、引导教学，注重教考衔接</w:t>
      </w:r>
    </w:p>
    <w:p w14:paraId="4783DFB7">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对接课程标准，突出学科素养</w:t>
      </w:r>
    </w:p>
    <w:p w14:paraId="21FFEC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卷突出学科素养中的家国情怀。如第17题五服制、西汉多民族国家发展、近代海防塞防之争考查了“在树立正确历史观基础上，从历史的角度认识中国的国情，形成对祖国的认同感和正确的国家观，认识中华民族多元一体的历史发展趋势，形成对中华民族的认同感和正确的民族观，具有民族自信心和自豪感”。</w:t>
      </w:r>
    </w:p>
    <w:p w14:paraId="468BBBF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如第10题阿育王、第11题阿拉伯文化、第15题《共产党宣言》考查“世界历史发展的多样性，理解和尊重世界各国、各民族的文化传统，具有广阔的国际视野，树立正确的文化观”。</w:t>
      </w:r>
    </w:p>
    <w:p w14:paraId="60D689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第8题国民经济恢复、第9题农民日记考查了“认同社会主义核心价值观，认同走中国特色社会主义道路是历史的必然，树立中国特色社会主义道路自信、理论自信、制度自信和文化自信”。</w:t>
      </w:r>
    </w:p>
    <w:p w14:paraId="19A4480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第18题早期英国信用标准考查了“能够确立积极进取的人生态度，塑造健全的人格，树立正确的世界观、人生观和价值观”。   </w:t>
      </w:r>
    </w:p>
    <w:p w14:paraId="3AACDDEE">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强化主干知识，促进教学增效</w:t>
      </w:r>
    </w:p>
    <w:p w14:paraId="7E3EB9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卷历史试题紧扣历史课程标准，增强必修课程、选择性必修课程之间的联系，强化主干知识考查。如考查商代文化、北周民族交融、唐代两税法、宋代佃农、明代农产品商品化、清末新政、抗战精神、国民经济恢复、社会主义精神文明、古代印度文化、阿拉伯文化、早期殖民扩张、北美独立运动、殖民文化、《共产党宣言》、世界多极化、中华民族共同体意识、英国信用、史学理论与中国近现代史等重大问题。</w:t>
      </w:r>
    </w:p>
    <w:p w14:paraId="65C411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p>
    <w:p w14:paraId="15156E2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767" w:firstLineChars="800"/>
        <w:jc w:val="left"/>
        <w:textAlignment w:val="auto"/>
        <w:rPr>
          <w:rFonts w:hint="eastAsia" w:ascii="黑体" w:hAnsi="黑体" w:eastAsia="黑体" w:cs="黑体"/>
          <w:b/>
          <w:bCs/>
          <w:sz w:val="22"/>
          <w:szCs w:val="22"/>
          <w:highlight w:val="cyan"/>
          <w:lang w:val="en-US" w:eastAsia="zh-CN"/>
        </w:rPr>
      </w:pPr>
      <w:r>
        <w:rPr>
          <w:rFonts w:hint="eastAsia" w:ascii="黑体" w:hAnsi="黑体" w:eastAsia="黑体" w:cs="黑体"/>
          <w:b/>
          <w:bCs/>
          <w:sz w:val="22"/>
          <w:szCs w:val="22"/>
          <w:highlight w:val="cyan"/>
          <w:lang w:val="en-US" w:eastAsia="zh-CN"/>
        </w:rPr>
        <w:t>三、2026·安徽历史复习备考</w:t>
      </w:r>
    </w:p>
    <w:p w14:paraId="3C0480C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（一）、2026·历史高考备考建议</w:t>
      </w:r>
    </w:p>
    <w:p w14:paraId="7B72EA9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 重视《高考评价体系》、2020年版《高中历史课程标准》，重视历史学科素养的基本要求，参考历史单元和专题的归纳。</w:t>
      </w:r>
    </w:p>
    <w:p w14:paraId="5C8EE08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 重视教考衔接。重视基础知识的巩固，重视阶段特征的把握，重视古今中外贯通的知识脉络体系。</w:t>
      </w:r>
    </w:p>
    <w:p w14:paraId="69C6663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3. 重视文言文阅读，重视解题技能。重视审题、归纳总结能力、准确表述能力、分析能力的训练，重视逻辑思维能力的培养和训练。</w:t>
      </w:r>
    </w:p>
    <w:p w14:paraId="0B110B9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4. 重视答题的规范性，言简意赅、条理清楚、标清序号、书写规范。重视用规定的笔作答，答在规定的范围之内。</w:t>
      </w:r>
    </w:p>
    <w:p w14:paraId="27591B0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5. 对于历史核心概念、专有名词，建议专门归纳总结，加强书写训练，避免错别字和不科学表述的出现。</w:t>
      </w:r>
    </w:p>
    <w:p w14:paraId="0AA1FA2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6、重视安徽自主命题的风格，重视其他省份新题型。</w:t>
      </w:r>
    </w:p>
    <w:p w14:paraId="063BA36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（二）、</w:t>
      </w:r>
      <w:r>
        <w:rPr>
          <w:rFonts w:hint="default" w:ascii="楷体" w:hAnsi="楷体" w:eastAsia="楷体" w:cs="楷体"/>
          <w:b/>
          <w:bCs/>
          <w:sz w:val="20"/>
          <w:szCs w:val="20"/>
          <w:highlight w:val="green"/>
          <w:lang w:val="en-US" w:eastAsia="zh-CN"/>
        </w:rPr>
        <w:t>202</w:t>
      </w:r>
      <w:r>
        <w:rPr>
          <w:rFonts w:hint="eastAsia" w:ascii="楷体" w:hAnsi="楷体" w:eastAsia="楷体" w:cs="楷体"/>
          <w:b/>
          <w:bCs/>
          <w:sz w:val="20"/>
          <w:szCs w:val="20"/>
          <w:highlight w:val="green"/>
          <w:lang w:val="en-US" w:eastAsia="zh-CN"/>
        </w:rPr>
        <w:t>6</w:t>
      </w:r>
      <w:r>
        <w:rPr>
          <w:rFonts w:hint="default" w:ascii="楷体" w:hAnsi="楷体" w:eastAsia="楷体" w:cs="楷体"/>
          <w:b/>
          <w:bCs/>
          <w:sz w:val="20"/>
          <w:szCs w:val="20"/>
          <w:highlight w:val="green"/>
          <w:lang w:val="en-US" w:eastAsia="zh-CN"/>
        </w:rPr>
        <w:t>·历史高考备考方向</w:t>
      </w:r>
    </w:p>
    <w:p w14:paraId="09A4C0E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1、立德树人</w:t>
      </w:r>
    </w:p>
    <w:p w14:paraId="1F52DB7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理想信念、爱国主义、品德修养、知识见识、奋斗精神、综合素质（德智体美劳）</w:t>
      </w:r>
    </w:p>
    <w:p w14:paraId="4BB3843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2、核心价值</w:t>
      </w:r>
    </w:p>
    <w:p w14:paraId="729AE99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理想信念、爱国情怀、以人民为中心的思想、法治意识、正确的世界观和方法论、</w:t>
      </w:r>
    </w:p>
    <w:p w14:paraId="4BEBBFF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品德修养、奋斗精神、责任担当、健康情感、劳动精神</w:t>
      </w:r>
    </w:p>
    <w:p w14:paraId="49BAF5E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3、学科素养（家国情怀）</w:t>
      </w:r>
    </w:p>
    <w:p w14:paraId="154CC49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中华优秀传统文化、革命文化、社会主义先进文化（文化观）</w:t>
      </w:r>
    </w:p>
    <w:p w14:paraId="1E430DC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民族团结（民族观）、</w:t>
      </w:r>
    </w:p>
    <w:p w14:paraId="3DDE165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法治意识、国家安全、生态文明、海洋权益，</w:t>
      </w:r>
    </w:p>
    <w:p w14:paraId="502EAA9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中国特色社会主义道路自信、理论自信、制度自信和文化自信（国家观）</w:t>
      </w:r>
    </w:p>
    <w:p w14:paraId="49E643E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正确的世界观、人生观、价值观（奋斗、进取、责任、担当）</w:t>
      </w:r>
    </w:p>
    <w:p w14:paraId="62E0484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4、命题切入</w:t>
      </w:r>
    </w:p>
    <w:p w14:paraId="2FF9D10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1、中华民族共同体意识（民族观、国家观、文化观、世界观、人生观、价值观）</w:t>
      </w:r>
    </w:p>
    <w:p w14:paraId="6B2BC29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2、国家治理体系和理政能力现代化（道路自信、理论自信、制度自信和文化自信）</w:t>
      </w:r>
    </w:p>
    <w:p w14:paraId="0063603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3、人类命运共同体意识（尊重人类文明的多样性、在合作共赢中促进全球共同发展）</w:t>
      </w:r>
    </w:p>
    <w:p w14:paraId="5507F79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4、全球治理体系（具有广阔的国际视野、大国责任与担当）</w:t>
      </w:r>
    </w:p>
    <w:p w14:paraId="4292C37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5、时代切入</w:t>
      </w:r>
    </w:p>
    <w:p w14:paraId="7A9CFC9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马克思主义中国化时代化</w:t>
      </w:r>
    </w:p>
    <w:p w14:paraId="6EC4079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中国式现代化（经济、政治、文化、社会、生态）</w:t>
      </w:r>
    </w:p>
    <w:p w14:paraId="4DB2ED1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（三）、2026·安徽历史高频考点</w:t>
      </w:r>
    </w:p>
    <w:p w14:paraId="68D132C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中国古代史考点：</w:t>
      </w:r>
    </w:p>
    <w:p w14:paraId="2FB20EC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政治：中华文明多元一体、分封制、宗法制、中央集权制度、官僚制、士族制、科举制、监察考核、多民族国家、朝贡关系</w:t>
      </w:r>
    </w:p>
    <w:p w14:paraId="52205D0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经济：井田制、私田、小农经济、手工业、商业、重农抑商、租佃制、货币、赋税、人身权、经济重心、 区域联系、海外贸易</w:t>
      </w:r>
    </w:p>
    <w:p w14:paraId="6BA4727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文化：礼乐制、儒家、理学、商业下新的价值取向、中华文化开放包容、兼收并蓄、中学西传、西学东渐</w:t>
      </w:r>
    </w:p>
    <w:p w14:paraId="1E8B1CF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社会：四民社会、科举制与人才流动、社会习俗、人口迁移</w:t>
      </w:r>
    </w:p>
    <w:p w14:paraId="2CF1DA0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中国近代史考点：</w:t>
      </w:r>
    </w:p>
    <w:p w14:paraId="17B8E23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晚清1840--1912：</w:t>
      </w:r>
    </w:p>
    <w:p w14:paraId="0CE61A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1、列强侵略、中国边疆危机、宗藩关系瓦解、国际法与外交近代化、国际人口迁移</w:t>
      </w:r>
    </w:p>
    <w:p w14:paraId="0A9FDFA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2、近代经济结构变化、中国民族工业与阶级关系变化、中体西用、实业救国；交通、商业、金融变化</w:t>
      </w:r>
    </w:p>
    <w:p w14:paraId="286EEF9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3、鸦片战争、太平天国、洋务运动三者的关系，维新运动、清末新政、中央集权式微与清朝灭亡、军阀的关系</w:t>
      </w:r>
    </w:p>
    <w:p w14:paraId="0D7A9AC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民国时期（1912---1949）</w:t>
      </w:r>
    </w:p>
    <w:p w14:paraId="068C066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1、辛亥革命与中国社会变迁（经济、政治、文化、习俗）</w:t>
      </w:r>
    </w:p>
    <w:p w14:paraId="620143A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2、新文化运动与马克思主义中国化</w:t>
      </w:r>
    </w:p>
    <w:p w14:paraId="35872A8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3、中国式革命道路（新民主主义革命道路、新民主主义经济、新民主主义理论）</w:t>
      </w:r>
    </w:p>
    <w:p w14:paraId="2F6FE3D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4、抗日战争（抗日民族统一战线、土地政策、三三制政权、工业高校西迁、文化生活）</w:t>
      </w:r>
    </w:p>
    <w:p w14:paraId="51D5185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5、解放战争（党的工作重心转移、党的城市工作、党的外交政策、）</w:t>
      </w:r>
    </w:p>
    <w:p w14:paraId="3FE51C5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中国现代史考点：</w:t>
      </w:r>
    </w:p>
    <w:p w14:paraId="0E3B2FD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马克思主义中国化、中国式现代化</w:t>
      </w:r>
    </w:p>
    <w:p w14:paraId="65D1392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1、新中国初期的工业化建设、国防建设、教育科技、外交、贸易、生活习俗</w:t>
      </w:r>
    </w:p>
    <w:p w14:paraId="0A65218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2、改革开放后的经济体制改革、城乡一体化、产业结构、就业结构变化、生活价值观念</w:t>
      </w:r>
    </w:p>
    <w:p w14:paraId="622879E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世界史考点：</w:t>
      </w:r>
    </w:p>
    <w:p w14:paraId="120010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1、世界文明多样与交流、古代希腊民主、人文、希腊化时代、罗马法、中世纪欧洲王权、城市、法律与道德</w:t>
      </w:r>
    </w:p>
    <w:p w14:paraId="4FA8CC3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2、资本主义与文明交流、文艺复兴、宗教改革、科学革命、启蒙运动、工业革命、社会主义、民族解放、国际格局、全球治理</w:t>
      </w:r>
      <w:r>
        <w:rPr>
          <w:rFonts w:hint="eastAsia" w:ascii="楷体" w:hAnsi="楷体" w:eastAsia="楷体" w:cs="楷体"/>
          <w:b/>
          <w:bCs/>
          <w:sz w:val="20"/>
          <w:szCs w:val="20"/>
          <w:lang w:val="en-US" w:eastAsia="zh-CN"/>
        </w:rPr>
        <w:t>、</w:t>
      </w:r>
      <w:r>
        <w:rPr>
          <w:rFonts w:hint="default" w:ascii="楷体" w:hAnsi="楷体" w:eastAsia="楷体" w:cs="楷体"/>
          <w:b/>
          <w:bCs/>
          <w:sz w:val="20"/>
          <w:szCs w:val="20"/>
          <w:lang w:val="en-US" w:eastAsia="zh-CN"/>
        </w:rPr>
        <w:t>文明多样性与人类文化遗产</w:t>
      </w:r>
    </w:p>
    <w:p w14:paraId="7EE4B8D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p>
    <w:p w14:paraId="6D57E85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361" w:firstLineChars="200"/>
        <w:jc w:val="left"/>
        <w:textAlignment w:val="auto"/>
        <w:rPr>
          <w:rFonts w:hint="eastAsia" w:ascii="楷体" w:hAnsi="楷体" w:eastAsia="楷体" w:cs="楷体"/>
          <w:b/>
          <w:bCs/>
          <w:sz w:val="18"/>
          <w:szCs w:val="18"/>
          <w:lang w:val="en-US" w:eastAsia="zh-CN"/>
        </w:rPr>
      </w:pPr>
    </w:p>
    <w:p w14:paraId="38E7C59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25908"/>
    <w:multiLevelType w:val="singleLevel"/>
    <w:tmpl w:val="3E2259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ZGFjY2M2Njg2OTlhMTc0YTkzNWEyOTcyYTM0MGQifQ=="/>
    <w:docVar w:name="ksoschemedata" w:val="868ce201-bb01-4870-820e-193e5b9f31c9"/>
  </w:docVars>
  <w:rsids>
    <w:rsidRoot w:val="4FF539EE"/>
    <w:rsid w:val="10702130"/>
    <w:rsid w:val="1CEE4B08"/>
    <w:rsid w:val="25824598"/>
    <w:rsid w:val="2B4D50F0"/>
    <w:rsid w:val="2D3B5B48"/>
    <w:rsid w:val="413A33D9"/>
    <w:rsid w:val="4AD33E92"/>
    <w:rsid w:val="4FF539EE"/>
    <w:rsid w:val="56CB31E9"/>
    <w:rsid w:val="785F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TotalTime>
  <Pages>4</Pages>
  <Words>4792</Words>
  <Characters>4905</Characters>
  <DocSecurity>0</DocSecurity>
  <Lines>0</Lines>
  <Paragraphs>0</Paragraphs>
  <ScaleCrop>false</ScaleCrop>
  <LinksUpToDate>false</LinksUpToDate>
  <CharactersWithSpaces>5000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2025-07-14T01:35:00Z</dcterms:created>
  <dcterms:modified xsi:type="dcterms:W3CDTF">2025-07-15T00:17:37Z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D181D0E3EBAF461E839A2BE85EC0D4B6_11</vt:lpwstr>
  </property>
</Properties>
</file>