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pPr>
      <w:bookmarkStart w:id="23" w:name="_GoBack"/>
      <w:bookmarkEnd w:id="23"/>
      <w:r>
        <w:rPr>
          <w:rFonts w:ascii="Times New Roman" w:hAnsi="Times New Roman" w:eastAsia="Times New Roman" w:cs="Times New Roman"/>
          <w:b/>
          <w:sz w:val="32"/>
        </w:rPr>
        <w:t>2025-2026</w:t>
      </w:r>
      <w:r>
        <w:rPr>
          <w:rFonts w:ascii="宋体" w:hAnsi="宋体" w:eastAsia="宋体" w:cs="宋体"/>
          <w:b/>
          <w:sz w:val="32"/>
        </w:rPr>
        <w:t>学年海南省海口市七年级（上）期末历史试卷</w:t>
      </w:r>
    </w:p>
    <w:p>
      <w:pPr>
        <w:numPr>
          <w:ilvl w:val="0"/>
          <w:numId w:val="0"/>
        </w:numPr>
        <w:spacing w:line="360" w:lineRule="auto"/>
        <w:ind w:left="0"/>
        <w:jc w:val="left"/>
        <w:textAlignment w:val="center"/>
      </w:pPr>
      <w:r>
        <w:rPr>
          <w:rFonts w:ascii="黑体" w:hAnsi="黑体" w:eastAsia="黑体" w:cs="黑体"/>
          <w:b w:val="0"/>
          <w:sz w:val="21"/>
        </w:rPr>
        <w:t>一、单选题：本大题共</w:t>
      </w:r>
      <w:r>
        <w:rPr>
          <w:rFonts w:ascii="Times New Roman" w:hAnsi="Times New Roman" w:eastAsia="Times New Roman" w:cs="Times New Roman"/>
          <w:b/>
          <w:sz w:val="21"/>
        </w:rPr>
        <w:t>20</w:t>
      </w:r>
      <w:r>
        <w:rPr>
          <w:rFonts w:ascii="黑体" w:hAnsi="黑体" w:eastAsia="黑体" w:cs="黑体"/>
          <w:b w:val="0"/>
          <w:sz w:val="21"/>
        </w:rPr>
        <w:t>小题，共</w:t>
      </w:r>
      <w:r>
        <w:rPr>
          <w:rFonts w:ascii="Times New Roman" w:hAnsi="Times New Roman" w:eastAsia="Times New Roman" w:cs="Times New Roman"/>
          <w:b/>
          <w:sz w:val="21"/>
        </w:rPr>
        <w:t>60</w:t>
      </w:r>
      <w:r>
        <w:rPr>
          <w:rFonts w:ascii="黑体" w:hAnsi="黑体" w:eastAsia="黑体" w:cs="黑体"/>
          <w:b w:val="0"/>
          <w:sz w:val="21"/>
        </w:rPr>
        <w:t>分。</w:t>
      </w:r>
    </w:p>
    <w:p>
      <w:pPr>
        <w:numPr>
          <w:ilvl w:val="0"/>
          <w:numId w:val="0"/>
        </w:numPr>
        <w:shd w:val="clear" w:color="auto" w:fill="auto"/>
        <w:spacing w:line="360" w:lineRule="auto"/>
        <w:ind w:left="0"/>
        <w:jc w:val="left"/>
        <w:textAlignment w:val="center"/>
      </w:pPr>
      <w:r>
        <w:rPr>
          <w:rFonts w:hAnsi="Times New Roman" w:eastAsia="Times New Roman"/>
          <w:kern w:val="0"/>
          <w:szCs w:val="21"/>
        </w:rPr>
        <w:t>1</w:t>
      </w:r>
      <w:r>
        <w:rPr>
          <w:rFonts w:ascii="宋体" w:hAnsi="宋体" w:eastAsia="宋体" w:cs="宋体"/>
          <w:kern w:val="0"/>
          <w:szCs w:val="21"/>
        </w:rPr>
        <w:t>.</w:t>
      </w:r>
      <w:bookmarkStart w:id="0" w:name="7e63b53d-251f-4466-b414-fe7b1fc7fd97"/>
      <w:r>
        <w:rPr>
          <w:rFonts w:ascii="宋体" w:hAnsi="宋体" w:eastAsia="宋体" w:cs="宋体"/>
          <w:kern w:val="0"/>
          <w:szCs w:val="21"/>
        </w:rPr>
        <w:t>中华之美，类型多样，独特隽永。下列作品最能体现先秦“文学之美”的是（　　）</w:t>
      </w:r>
      <w:bookmarkEnd w:id="0"/>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《离骚》</w:t>
      </w:r>
      <w:r>
        <w:tab/>
      </w:r>
      <w:r>
        <w:rPr>
          <w:rFonts w:hAnsi="Times New Roman" w:eastAsia="Times New Roman"/>
          <w:kern w:val="0"/>
          <w:szCs w:val="21"/>
        </w:rPr>
        <w:t xml:space="preserve">B. </w:t>
      </w:r>
      <w:r>
        <w:rPr>
          <w:rFonts w:ascii="宋体" w:hAnsi="宋体" w:eastAsia="宋体" w:cs="宋体"/>
          <w:kern w:val="0"/>
          <w:szCs w:val="21"/>
        </w:rPr>
        <w:t>《春秋》</w:t>
      </w:r>
      <w:r>
        <w:tab/>
      </w:r>
      <w:r>
        <w:rPr>
          <w:rFonts w:hAnsi="Times New Roman" w:eastAsia="Times New Roman"/>
          <w:kern w:val="0"/>
          <w:szCs w:val="21"/>
        </w:rPr>
        <w:t xml:space="preserve">C. </w:t>
      </w:r>
      <w:r>
        <w:rPr>
          <w:rFonts w:ascii="宋体" w:hAnsi="宋体" w:eastAsia="宋体" w:cs="宋体"/>
          <w:kern w:val="0"/>
          <w:szCs w:val="21"/>
        </w:rPr>
        <w:t>《论语》</w:t>
      </w:r>
      <w:r>
        <w:tab/>
      </w:r>
      <w:r>
        <w:rPr>
          <w:rFonts w:hAnsi="Times New Roman" w:eastAsia="Times New Roman"/>
          <w:kern w:val="0"/>
          <w:szCs w:val="21"/>
        </w:rPr>
        <w:t xml:space="preserve">D. </w:t>
      </w:r>
      <w:r>
        <w:rPr>
          <w:rFonts w:ascii="宋体" w:hAnsi="宋体" w:eastAsia="宋体" w:cs="宋体"/>
          <w:kern w:val="0"/>
          <w:szCs w:val="21"/>
        </w:rPr>
        <w:t>《史记》</w:t>
      </w:r>
    </w:p>
    <w:p>
      <w:pPr>
        <w:numPr>
          <w:ilvl w:val="0"/>
          <w:numId w:val="0"/>
        </w:numPr>
        <w:shd w:val="clear" w:color="auto" w:fill="auto"/>
        <w:spacing w:line="360" w:lineRule="auto"/>
        <w:ind w:left="0"/>
        <w:jc w:val="left"/>
        <w:textAlignment w:val="center"/>
      </w:pPr>
      <w:r>
        <w:rPr>
          <w:rFonts w:hAnsi="Times New Roman" w:eastAsia="Times New Roman"/>
          <w:kern w:val="0"/>
          <w:szCs w:val="21"/>
        </w:rPr>
        <w:t>2</w:t>
      </w:r>
      <w:r>
        <w:rPr>
          <w:rFonts w:ascii="宋体" w:hAnsi="宋体" w:eastAsia="宋体" w:cs="宋体"/>
          <w:kern w:val="0"/>
          <w:szCs w:val="21"/>
        </w:rPr>
        <w:t>.</w:t>
      </w:r>
      <w:bookmarkStart w:id="1" w:name="2292ab54-0275-4193-8780-74770b102b51"/>
      <w:r>
        <w:rPr>
          <w:rFonts w:ascii="宋体" w:hAnsi="宋体" w:eastAsia="宋体" w:cs="宋体"/>
          <w:kern w:val="0"/>
          <w:szCs w:val="21"/>
        </w:rPr>
        <w:t>“朕为始皇帝，后世以计数，二世三世至于万世，传之无穷。”材料中的“朕”指的是（　　）</w:t>
      </w:r>
      <w:bookmarkEnd w:id="1"/>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黄帝</w:t>
      </w:r>
      <w:r>
        <w:tab/>
      </w:r>
      <w:r>
        <w:rPr>
          <w:rFonts w:hAnsi="Times New Roman" w:eastAsia="Times New Roman"/>
          <w:kern w:val="0"/>
          <w:szCs w:val="21"/>
        </w:rPr>
        <w:t xml:space="preserve">B. </w:t>
      </w:r>
      <w:r>
        <w:rPr>
          <w:rFonts w:ascii="宋体" w:hAnsi="宋体" w:eastAsia="宋体" w:cs="宋体"/>
          <w:kern w:val="0"/>
          <w:szCs w:val="21"/>
        </w:rPr>
        <w:t>大禹</w:t>
      </w:r>
      <w:r>
        <w:tab/>
      </w:r>
      <w:r>
        <w:rPr>
          <w:rFonts w:hAnsi="Times New Roman" w:eastAsia="Times New Roman"/>
          <w:kern w:val="0"/>
          <w:szCs w:val="21"/>
        </w:rPr>
        <w:t xml:space="preserve">C. </w:t>
      </w:r>
      <w:r>
        <w:rPr>
          <w:rFonts w:ascii="宋体" w:hAnsi="宋体" w:eastAsia="宋体" w:cs="宋体"/>
          <w:kern w:val="0"/>
          <w:szCs w:val="21"/>
        </w:rPr>
        <w:t>嬴政</w:t>
      </w:r>
      <w:r>
        <w:tab/>
      </w:r>
      <w:r>
        <w:rPr>
          <w:rFonts w:hAnsi="Times New Roman" w:eastAsia="Times New Roman"/>
          <w:kern w:val="0"/>
          <w:szCs w:val="21"/>
        </w:rPr>
        <w:t xml:space="preserve">D. </w:t>
      </w:r>
      <w:r>
        <w:rPr>
          <w:rFonts w:ascii="宋体" w:hAnsi="宋体" w:eastAsia="宋体" w:cs="宋体"/>
          <w:kern w:val="0"/>
          <w:szCs w:val="21"/>
        </w:rPr>
        <w:t>刘邦</w:t>
      </w:r>
    </w:p>
    <w:p>
      <w:pPr>
        <w:numPr>
          <w:ilvl w:val="0"/>
          <w:numId w:val="0"/>
        </w:numPr>
        <w:shd w:val="clear" w:color="auto" w:fill="auto"/>
        <w:spacing w:line="360" w:lineRule="auto"/>
        <w:ind w:left="0"/>
        <w:jc w:val="left"/>
        <w:textAlignment w:val="center"/>
      </w:pPr>
      <w:r>
        <w:rPr>
          <w:rFonts w:hAnsi="Times New Roman" w:eastAsia="Times New Roman"/>
          <w:kern w:val="0"/>
          <w:szCs w:val="21"/>
        </w:rPr>
        <w:t>3</w:t>
      </w:r>
      <w:r>
        <w:rPr>
          <w:rFonts w:ascii="宋体" w:hAnsi="宋体" w:eastAsia="宋体" w:cs="宋体"/>
          <w:kern w:val="0"/>
          <w:szCs w:val="21"/>
        </w:rPr>
        <w:t>.</w:t>
      </w:r>
      <w:bookmarkStart w:id="2" w:name="f9f952ec-be0a-4c38-996d-3e5b92dc0c59"/>
      <w:r>
        <w:rPr>
          <w:rFonts w:ascii="宋体" w:hAnsi="宋体" w:eastAsia="宋体" w:cs="宋体"/>
          <w:kern w:val="0"/>
          <w:szCs w:val="21"/>
        </w:rPr>
        <w:t>中国国家博物馆是代表国家收藏、展示、阐释中华文化代表性物证的最高历史文化艺术殿堂，现藏</w:t>
      </w:r>
      <w:r>
        <w:rPr>
          <w:rFonts w:hAnsi="Times New Roman" w:eastAsia="Times New Roman"/>
          <w:kern w:val="0"/>
          <w:szCs w:val="21"/>
        </w:rPr>
        <w:t>143</w:t>
      </w:r>
      <w:r>
        <w:rPr>
          <w:rFonts w:ascii="宋体" w:hAnsi="宋体" w:eastAsia="宋体" w:cs="宋体"/>
          <w:kern w:val="0"/>
          <w:szCs w:val="21"/>
        </w:rPr>
        <w:t>万余件（套）文物。以下国博的文物共同反映了（　　）</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790950" cy="123825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3790950" cy="1238250"/>
                    </a:xfrm>
                    <a:prstGeom prst="rect">
                      <a:avLst/>
                    </a:prstGeom>
                    <a:noFill/>
                    <a:ln>
                      <a:noFill/>
                    </a:ln>
                  </pic:spPr>
                </pic:pic>
              </a:graphicData>
            </a:graphic>
          </wp:inline>
        </w:drawing>
      </w:r>
      <w:bookmarkEnd w:id="2"/>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秦朝赋税制度的演变</w:t>
      </w:r>
      <w:r>
        <w:tab/>
      </w:r>
      <w:r>
        <w:rPr>
          <w:rFonts w:hAnsi="Times New Roman" w:eastAsia="Times New Roman"/>
          <w:kern w:val="0"/>
          <w:szCs w:val="21"/>
        </w:rPr>
        <w:t xml:space="preserve">B. </w:t>
      </w:r>
      <w:r>
        <w:rPr>
          <w:rFonts w:ascii="宋体" w:hAnsi="宋体" w:eastAsia="宋体" w:cs="宋体"/>
          <w:kern w:val="0"/>
          <w:szCs w:val="21"/>
        </w:rPr>
        <w:t>汉高祖推行休养生息政策</w:t>
      </w:r>
      <w:r>
        <w:br w:type="textWrapping"/>
      </w:r>
      <w:r>
        <w:rPr>
          <w:rFonts w:hAnsi="Times New Roman" w:eastAsia="Times New Roman"/>
          <w:kern w:val="0"/>
          <w:szCs w:val="21"/>
        </w:rPr>
        <w:t xml:space="preserve">C. </w:t>
      </w:r>
      <w:r>
        <w:rPr>
          <w:rFonts w:ascii="宋体" w:hAnsi="宋体" w:eastAsia="宋体" w:cs="宋体"/>
          <w:kern w:val="0"/>
          <w:szCs w:val="21"/>
        </w:rPr>
        <w:t>秦朝巩固统一的措施</w:t>
      </w:r>
      <w:r>
        <w:tab/>
      </w:r>
      <w:r>
        <w:rPr>
          <w:rFonts w:hAnsi="Times New Roman" w:eastAsia="Times New Roman"/>
          <w:kern w:val="0"/>
          <w:szCs w:val="21"/>
        </w:rPr>
        <w:t xml:space="preserve">D. </w:t>
      </w:r>
      <w:r>
        <w:rPr>
          <w:rFonts w:ascii="宋体" w:hAnsi="宋体" w:eastAsia="宋体" w:cs="宋体"/>
          <w:kern w:val="0"/>
          <w:szCs w:val="21"/>
        </w:rPr>
        <w:t>汉武帝实行盐铁官营专卖</w:t>
      </w:r>
    </w:p>
    <w:p>
      <w:pPr>
        <w:numPr>
          <w:ilvl w:val="0"/>
          <w:numId w:val="0"/>
        </w:numPr>
        <w:shd w:val="clear" w:color="auto" w:fill="auto"/>
        <w:spacing w:line="360" w:lineRule="auto"/>
        <w:ind w:left="0"/>
        <w:jc w:val="left"/>
        <w:textAlignment w:val="center"/>
      </w:pPr>
      <w:r>
        <w:rPr>
          <w:rFonts w:hAnsi="Times New Roman" w:eastAsia="Times New Roman"/>
          <w:kern w:val="0"/>
          <w:szCs w:val="21"/>
        </w:rPr>
        <w:t>4</w:t>
      </w:r>
      <w:r>
        <w:rPr>
          <w:rFonts w:ascii="宋体" w:hAnsi="宋体" w:eastAsia="宋体" w:cs="宋体"/>
          <w:kern w:val="0"/>
          <w:szCs w:val="21"/>
        </w:rPr>
        <w:t>.</w:t>
      </w:r>
      <w:bookmarkStart w:id="3" w:name="a146606b-0606-4ff8-9502-129c1c1318bc"/>
      <w:r>
        <w:rPr>
          <w:rFonts w:ascii="宋体" w:hAnsi="宋体" w:eastAsia="宋体" w:cs="宋体"/>
          <w:kern w:val="0"/>
          <w:szCs w:val="21"/>
        </w:rPr>
        <w:t>《史记•过秦论》中记载：“繁刑严诛，吏治刻深，赏罚不当，赋敛无度。”这段史料适合用于研究秦末农民起义的（　　）</w:t>
      </w:r>
      <w:bookmarkEnd w:id="3"/>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原因</w:t>
      </w:r>
      <w:r>
        <w:tab/>
      </w:r>
      <w:r>
        <w:rPr>
          <w:rFonts w:hAnsi="Times New Roman" w:eastAsia="Times New Roman"/>
          <w:kern w:val="0"/>
          <w:szCs w:val="21"/>
        </w:rPr>
        <w:t xml:space="preserve">B. </w:t>
      </w:r>
      <w:r>
        <w:rPr>
          <w:rFonts w:ascii="宋体" w:hAnsi="宋体" w:eastAsia="宋体" w:cs="宋体"/>
          <w:kern w:val="0"/>
          <w:szCs w:val="21"/>
        </w:rPr>
        <w:t>经过</w:t>
      </w:r>
      <w:r>
        <w:tab/>
      </w:r>
      <w:r>
        <w:rPr>
          <w:rFonts w:hAnsi="Times New Roman" w:eastAsia="Times New Roman"/>
          <w:kern w:val="0"/>
          <w:szCs w:val="21"/>
        </w:rPr>
        <w:t xml:space="preserve">C. </w:t>
      </w:r>
      <w:r>
        <w:rPr>
          <w:rFonts w:ascii="宋体" w:hAnsi="宋体" w:eastAsia="宋体" w:cs="宋体"/>
          <w:kern w:val="0"/>
          <w:szCs w:val="21"/>
        </w:rPr>
        <w:t>特点</w:t>
      </w:r>
      <w:r>
        <w:tab/>
      </w:r>
      <w:r>
        <w:rPr>
          <w:rFonts w:hAnsi="Times New Roman" w:eastAsia="Times New Roman"/>
          <w:kern w:val="0"/>
          <w:szCs w:val="21"/>
        </w:rPr>
        <w:t xml:space="preserve">D. </w:t>
      </w:r>
      <w:r>
        <w:rPr>
          <w:rFonts w:ascii="宋体" w:hAnsi="宋体" w:eastAsia="宋体" w:cs="宋体"/>
          <w:kern w:val="0"/>
          <w:szCs w:val="21"/>
        </w:rPr>
        <w:t>影响</w:t>
      </w:r>
    </w:p>
    <w:p>
      <w:pPr>
        <w:numPr>
          <w:ilvl w:val="0"/>
          <w:numId w:val="0"/>
        </w:numPr>
        <w:shd w:val="clear" w:color="auto" w:fill="auto"/>
        <w:spacing w:line="360" w:lineRule="auto"/>
        <w:ind w:left="0"/>
        <w:jc w:val="left"/>
        <w:textAlignment w:val="center"/>
      </w:pPr>
      <w:r>
        <w:rPr>
          <w:rFonts w:hAnsi="Times New Roman" w:eastAsia="Times New Roman"/>
          <w:kern w:val="0"/>
          <w:szCs w:val="21"/>
        </w:rPr>
        <w:t>5</w:t>
      </w:r>
      <w:r>
        <w:rPr>
          <w:rFonts w:ascii="宋体" w:hAnsi="宋体" w:eastAsia="宋体" w:cs="宋体"/>
          <w:kern w:val="0"/>
          <w:szCs w:val="21"/>
        </w:rPr>
        <w:t>.</w:t>
      </w:r>
      <w:bookmarkStart w:id="4" w:name="31072e6b-dc3f-4c45-b831-bc1d3e1ba390"/>
      <w:r>
        <w:rPr>
          <w:rFonts w:ascii="宋体" w:hAnsi="宋体" w:eastAsia="宋体" w:cs="宋体"/>
          <w:kern w:val="0"/>
          <w:szCs w:val="21"/>
        </w:rPr>
        <w:t>“汉兴，扫除烦苛，与民休息。”以下措施与材料相符的是（　　）</w:t>
      </w:r>
      <w:bookmarkEnd w:id="4"/>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减轻赋税</w:t>
      </w:r>
      <w:r>
        <w:tab/>
      </w:r>
      <w:r>
        <w:rPr>
          <w:rFonts w:hAnsi="Times New Roman" w:eastAsia="Times New Roman"/>
          <w:kern w:val="0"/>
          <w:szCs w:val="21"/>
        </w:rPr>
        <w:t xml:space="preserve">B. </w:t>
      </w:r>
      <w:r>
        <w:rPr>
          <w:rFonts w:ascii="宋体" w:hAnsi="宋体" w:eastAsia="宋体" w:cs="宋体"/>
          <w:kern w:val="0"/>
          <w:szCs w:val="21"/>
        </w:rPr>
        <w:t>盐铁专卖</w:t>
      </w:r>
      <w:r>
        <w:tab/>
      </w:r>
      <w:r>
        <w:rPr>
          <w:rFonts w:hAnsi="Times New Roman" w:eastAsia="Times New Roman"/>
          <w:kern w:val="0"/>
          <w:szCs w:val="21"/>
        </w:rPr>
        <w:t xml:space="preserve">C. </w:t>
      </w:r>
      <w:r>
        <w:rPr>
          <w:rFonts w:ascii="宋体" w:hAnsi="宋体" w:eastAsia="宋体" w:cs="宋体"/>
          <w:kern w:val="0"/>
          <w:szCs w:val="21"/>
        </w:rPr>
        <w:t>尊崇儒术</w:t>
      </w:r>
      <w:r>
        <w:tab/>
      </w:r>
      <w:r>
        <w:rPr>
          <w:rFonts w:hAnsi="Times New Roman" w:eastAsia="Times New Roman"/>
          <w:kern w:val="0"/>
          <w:szCs w:val="21"/>
        </w:rPr>
        <w:t xml:space="preserve">D. </w:t>
      </w:r>
      <w:r>
        <w:rPr>
          <w:rFonts w:ascii="宋体" w:hAnsi="宋体" w:eastAsia="宋体" w:cs="宋体"/>
          <w:kern w:val="0"/>
          <w:szCs w:val="21"/>
        </w:rPr>
        <w:t>北击匈奴</w:t>
      </w:r>
    </w:p>
    <w:p>
      <w:pPr>
        <w:numPr>
          <w:ilvl w:val="0"/>
          <w:numId w:val="0"/>
        </w:numPr>
        <w:shd w:val="clear" w:color="auto" w:fill="auto"/>
        <w:spacing w:line="360" w:lineRule="auto"/>
        <w:ind w:left="0"/>
        <w:jc w:val="left"/>
        <w:textAlignment w:val="center"/>
      </w:pPr>
      <w:r>
        <w:rPr>
          <w:rFonts w:hAnsi="Times New Roman" w:eastAsia="Times New Roman"/>
          <w:kern w:val="0"/>
          <w:szCs w:val="21"/>
        </w:rPr>
        <w:t>6</w:t>
      </w:r>
      <w:r>
        <w:rPr>
          <w:rFonts w:ascii="宋体" w:hAnsi="宋体" w:eastAsia="宋体" w:cs="宋体"/>
          <w:kern w:val="0"/>
          <w:szCs w:val="21"/>
        </w:rPr>
        <w:t>.</w:t>
      </w:r>
      <w:bookmarkStart w:id="5" w:name="34bda6d9-a0cd-4a34-b4d7-f81fe8c1602d"/>
      <w:r>
        <w:rPr>
          <w:rFonts w:ascii="宋体" w:hAnsi="宋体" w:eastAsia="宋体" w:cs="宋体"/>
          <w:kern w:val="0"/>
          <w:szCs w:val="21"/>
        </w:rPr>
        <w:t>汉武帝时期，主父偃提出“令诸侯得推恩分子弟，以地侯之”的建议被采用。于是，齐国被分为七，赵国被分为六。此举主要意图在于（　　）</w:t>
      </w:r>
      <w:bookmarkEnd w:id="5"/>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扩大封国统治区域</w:t>
      </w:r>
      <w:r>
        <w:tab/>
      </w:r>
      <w:r>
        <w:rPr>
          <w:rFonts w:hAnsi="Times New Roman" w:eastAsia="Times New Roman"/>
          <w:kern w:val="0"/>
          <w:szCs w:val="21"/>
        </w:rPr>
        <w:t xml:space="preserve">B. </w:t>
      </w:r>
      <w:r>
        <w:rPr>
          <w:rFonts w:ascii="宋体" w:hAnsi="宋体" w:eastAsia="宋体" w:cs="宋体"/>
          <w:kern w:val="0"/>
          <w:szCs w:val="21"/>
        </w:rPr>
        <w:t>增进宗室子弟情谊</w:t>
      </w:r>
      <w:r>
        <w:tab/>
      </w:r>
      <w:r>
        <w:rPr>
          <w:rFonts w:hAnsi="Times New Roman" w:eastAsia="Times New Roman"/>
          <w:kern w:val="0"/>
          <w:szCs w:val="21"/>
        </w:rPr>
        <w:t xml:space="preserve">C. </w:t>
      </w:r>
      <w:r>
        <w:rPr>
          <w:rFonts w:ascii="宋体" w:hAnsi="宋体" w:eastAsia="宋体" w:cs="宋体"/>
          <w:kern w:val="0"/>
          <w:szCs w:val="21"/>
        </w:rPr>
        <w:t>削弱诸侯王国势力</w:t>
      </w:r>
      <w:r>
        <w:tab/>
      </w:r>
      <w:r>
        <w:rPr>
          <w:rFonts w:hAnsi="Times New Roman" w:eastAsia="Times New Roman"/>
          <w:kern w:val="0"/>
          <w:szCs w:val="21"/>
        </w:rPr>
        <w:t xml:space="preserve">D. </w:t>
      </w:r>
      <w:r>
        <w:rPr>
          <w:rFonts w:ascii="宋体" w:hAnsi="宋体" w:eastAsia="宋体" w:cs="宋体"/>
          <w:kern w:val="0"/>
          <w:szCs w:val="21"/>
        </w:rPr>
        <w:t>彻底铲除豪强地主</w:t>
      </w:r>
    </w:p>
    <w:p>
      <w:pPr>
        <w:numPr>
          <w:ilvl w:val="0"/>
          <w:numId w:val="0"/>
        </w:numPr>
        <w:shd w:val="clear" w:color="auto" w:fill="auto"/>
        <w:spacing w:line="360" w:lineRule="auto"/>
        <w:ind w:left="0"/>
        <w:jc w:val="left"/>
        <w:textAlignment w:val="center"/>
      </w:pPr>
      <w:r>
        <w:rPr>
          <w:rFonts w:hAnsi="Times New Roman" w:eastAsia="Times New Roman"/>
          <w:kern w:val="0"/>
          <w:szCs w:val="21"/>
        </w:rPr>
        <w:t>7</w:t>
      </w:r>
      <w:r>
        <w:rPr>
          <w:rFonts w:ascii="宋体" w:hAnsi="宋体" w:eastAsia="宋体" w:cs="宋体"/>
          <w:kern w:val="0"/>
          <w:szCs w:val="21"/>
        </w:rPr>
        <w:t>.</w:t>
      </w:r>
      <w:bookmarkStart w:id="6" w:name="b5b51d5e-e187-4587-8de4-445f44bbde4b"/>
      <w:r>
        <w:rPr>
          <w:rFonts w:ascii="宋体" w:hAnsi="宋体" w:eastAsia="宋体" w:cs="宋体"/>
          <w:kern w:val="0"/>
          <w:szCs w:val="21"/>
        </w:rPr>
        <w:t>夏曾佑在《中国古代史》中写道：“中国之政，得秦皇而后行。中国之境，得汉武而后定。”下列能佐证中国之“境”的是（　　）</w:t>
      </w:r>
      <w:bookmarkEnd w:id="6"/>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蒙恬北击匈奴</w:t>
      </w:r>
      <w:r>
        <w:tab/>
      </w:r>
      <w:r>
        <w:rPr>
          <w:rFonts w:hAnsi="Times New Roman" w:eastAsia="Times New Roman"/>
          <w:kern w:val="0"/>
          <w:szCs w:val="21"/>
        </w:rPr>
        <w:t xml:space="preserve">B. </w:t>
      </w:r>
      <w:r>
        <w:rPr>
          <w:rFonts w:ascii="宋体" w:hAnsi="宋体" w:eastAsia="宋体" w:cs="宋体"/>
          <w:kern w:val="0"/>
          <w:szCs w:val="21"/>
        </w:rPr>
        <w:t>修建白渠</w:t>
      </w:r>
      <w:r>
        <w:tab/>
      </w:r>
      <w:r>
        <w:rPr>
          <w:rFonts w:hAnsi="Times New Roman" w:eastAsia="Times New Roman"/>
          <w:kern w:val="0"/>
          <w:szCs w:val="21"/>
        </w:rPr>
        <w:t xml:space="preserve">C. </w:t>
      </w:r>
      <w:r>
        <w:rPr>
          <w:rFonts w:ascii="宋体" w:hAnsi="宋体" w:eastAsia="宋体" w:cs="宋体"/>
          <w:kern w:val="0"/>
          <w:szCs w:val="21"/>
        </w:rPr>
        <w:t>卫青北击匈奴</w:t>
      </w:r>
      <w:r>
        <w:tab/>
      </w:r>
      <w:r>
        <w:rPr>
          <w:rFonts w:hAnsi="Times New Roman" w:eastAsia="Times New Roman"/>
          <w:kern w:val="0"/>
          <w:szCs w:val="21"/>
        </w:rPr>
        <w:t xml:space="preserve">D. </w:t>
      </w:r>
      <w:r>
        <w:rPr>
          <w:rFonts w:ascii="宋体" w:hAnsi="宋体" w:eastAsia="宋体" w:cs="宋体"/>
          <w:kern w:val="0"/>
          <w:szCs w:val="21"/>
        </w:rPr>
        <w:t>黄巾起义</w:t>
      </w:r>
    </w:p>
    <w:p>
      <w:pPr>
        <w:numPr>
          <w:ilvl w:val="0"/>
          <w:numId w:val="0"/>
        </w:numPr>
        <w:shd w:val="clear" w:color="auto" w:fill="auto"/>
        <w:spacing w:line="360" w:lineRule="auto"/>
        <w:ind w:left="0"/>
        <w:jc w:val="left"/>
        <w:textAlignment w:val="center"/>
      </w:pPr>
      <w:r>
        <w:rPr>
          <w:rFonts w:hAnsi="Times New Roman" w:eastAsia="Times New Roman"/>
          <w:kern w:val="0"/>
          <w:szCs w:val="21"/>
        </w:rPr>
        <w:t>8</w:t>
      </w:r>
      <w:r>
        <w:rPr>
          <w:rFonts w:ascii="宋体" w:hAnsi="宋体" w:eastAsia="宋体" w:cs="宋体"/>
          <w:kern w:val="0"/>
          <w:szCs w:val="21"/>
        </w:rPr>
        <w:t>.</w:t>
      </w:r>
      <w:bookmarkStart w:id="7" w:name="5c39f5be-ea2e-4a06-a10b-1be5d6e002a8"/>
      <w:r>
        <w:rPr>
          <w:rFonts w:ascii="宋体" w:hAnsi="宋体" w:eastAsia="宋体" w:cs="宋体"/>
          <w:kern w:val="0"/>
          <w:szCs w:val="21"/>
        </w:rPr>
        <w:t>今新疆及巴尔喀什湖以东、以南的广大地区正式归属中央政权的标志是（　　）</w:t>
      </w:r>
      <w:bookmarkEnd w:id="7"/>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昭君出塞</w:t>
      </w:r>
      <w:r>
        <w:tab/>
      </w:r>
      <w:r>
        <w:rPr>
          <w:rFonts w:hAnsi="Times New Roman" w:eastAsia="Times New Roman"/>
          <w:kern w:val="0"/>
          <w:szCs w:val="21"/>
        </w:rPr>
        <w:t xml:space="preserve">B. </w:t>
      </w:r>
      <w:r>
        <w:rPr>
          <w:rFonts w:ascii="宋体" w:hAnsi="宋体" w:eastAsia="宋体" w:cs="宋体"/>
          <w:kern w:val="0"/>
          <w:szCs w:val="21"/>
        </w:rPr>
        <w:t>丝绸之路的开通</w:t>
      </w:r>
      <w:r>
        <w:tab/>
      </w:r>
      <w:r>
        <w:rPr>
          <w:rFonts w:hAnsi="Times New Roman" w:eastAsia="Times New Roman"/>
          <w:kern w:val="0"/>
          <w:szCs w:val="21"/>
        </w:rPr>
        <w:t xml:space="preserve">C. </w:t>
      </w:r>
      <w:r>
        <w:rPr>
          <w:rFonts w:ascii="宋体" w:hAnsi="宋体" w:eastAsia="宋体" w:cs="宋体"/>
          <w:kern w:val="0"/>
          <w:szCs w:val="21"/>
        </w:rPr>
        <w:t>张骞出使西域</w:t>
      </w:r>
      <w:r>
        <w:tab/>
      </w:r>
      <w:r>
        <w:rPr>
          <w:rFonts w:hAnsi="Times New Roman" w:eastAsia="Times New Roman"/>
          <w:kern w:val="0"/>
          <w:szCs w:val="21"/>
        </w:rPr>
        <w:t xml:space="preserve">D. </w:t>
      </w:r>
      <w:r>
        <w:rPr>
          <w:rFonts w:ascii="宋体" w:hAnsi="宋体" w:eastAsia="宋体" w:cs="宋体"/>
          <w:kern w:val="0"/>
          <w:szCs w:val="21"/>
        </w:rPr>
        <w:t>设置西域都护府</w:t>
      </w:r>
    </w:p>
    <w:p>
      <w:pPr>
        <w:numPr>
          <w:ilvl w:val="0"/>
          <w:numId w:val="0"/>
        </w:numPr>
        <w:shd w:val="clear" w:color="auto" w:fill="auto"/>
        <w:spacing w:line="360" w:lineRule="auto"/>
        <w:ind w:left="0"/>
        <w:jc w:val="left"/>
        <w:textAlignment w:val="center"/>
      </w:pPr>
      <w:r>
        <w:rPr>
          <w:rFonts w:hAnsi="Times New Roman" w:eastAsia="Times New Roman"/>
          <w:kern w:val="0"/>
          <w:szCs w:val="21"/>
        </w:rPr>
        <w:t>9</w:t>
      </w:r>
      <w:r>
        <w:rPr>
          <w:rFonts w:ascii="宋体" w:hAnsi="宋体" w:eastAsia="宋体" w:cs="宋体"/>
          <w:kern w:val="0"/>
          <w:szCs w:val="21"/>
        </w:rPr>
        <w:t>.</w:t>
      </w:r>
      <w:bookmarkStart w:id="8" w:name="3ecdcfd5-6b5e-430e-821f-39af0e242d24"/>
      <w:r>
        <w:rPr>
          <w:rFonts w:ascii="宋体" w:hAnsi="宋体" w:eastAsia="宋体" w:cs="宋体"/>
          <w:kern w:val="0"/>
          <w:szCs w:val="21"/>
        </w:rPr>
        <w:t>《九章算术》诞生于东汉时期，是我国古代数学史上的名著。下面为其中的一道例题：今有田广十五步，纵十六步。问为田几何？今有粟一斗，欲为粝米，问得几何？据此可知，《九章算术》注重（　　）</w:t>
      </w:r>
      <w:bookmarkEnd w:id="8"/>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改革创新</w:t>
      </w:r>
      <w:r>
        <w:tab/>
      </w:r>
      <w:r>
        <w:rPr>
          <w:rFonts w:hAnsi="Times New Roman" w:eastAsia="Times New Roman"/>
          <w:kern w:val="0"/>
          <w:szCs w:val="21"/>
        </w:rPr>
        <w:t xml:space="preserve">B. </w:t>
      </w:r>
      <w:r>
        <w:rPr>
          <w:rFonts w:ascii="宋体" w:hAnsi="宋体" w:eastAsia="宋体" w:cs="宋体"/>
          <w:kern w:val="0"/>
          <w:szCs w:val="21"/>
        </w:rPr>
        <w:t>实际运用</w:t>
      </w:r>
      <w:r>
        <w:tab/>
      </w:r>
      <w:r>
        <w:rPr>
          <w:rFonts w:hAnsi="Times New Roman" w:eastAsia="Times New Roman"/>
          <w:kern w:val="0"/>
          <w:szCs w:val="21"/>
        </w:rPr>
        <w:t xml:space="preserve">C. </w:t>
      </w:r>
      <w:r>
        <w:rPr>
          <w:rFonts w:ascii="宋体" w:hAnsi="宋体" w:eastAsia="宋体" w:cs="宋体"/>
          <w:kern w:val="0"/>
          <w:szCs w:val="21"/>
        </w:rPr>
        <w:t>抽象晦涩</w:t>
      </w:r>
      <w:r>
        <w:tab/>
      </w:r>
      <w:r>
        <w:rPr>
          <w:rFonts w:hAnsi="Times New Roman" w:eastAsia="Times New Roman"/>
          <w:kern w:val="0"/>
          <w:szCs w:val="21"/>
        </w:rPr>
        <w:t xml:space="preserve">D. </w:t>
      </w:r>
      <w:r>
        <w:rPr>
          <w:rFonts w:ascii="宋体" w:hAnsi="宋体" w:eastAsia="宋体" w:cs="宋体"/>
          <w:kern w:val="0"/>
          <w:szCs w:val="21"/>
        </w:rPr>
        <w:t>艺术美观</w:t>
      </w:r>
    </w:p>
    <w:p>
      <w:pPr>
        <w:numPr>
          <w:ilvl w:val="0"/>
          <w:numId w:val="0"/>
        </w:numPr>
        <w:shd w:val="clear" w:color="auto" w:fill="auto"/>
        <w:spacing w:line="360" w:lineRule="auto"/>
        <w:ind w:left="0"/>
        <w:jc w:val="left"/>
        <w:textAlignment w:val="center"/>
      </w:pPr>
      <w:r>
        <w:rPr>
          <w:rFonts w:hAnsi="Times New Roman" w:eastAsia="Times New Roman"/>
          <w:kern w:val="0"/>
          <w:szCs w:val="21"/>
        </w:rPr>
        <w:t>10</w:t>
      </w:r>
      <w:r>
        <w:rPr>
          <w:rFonts w:ascii="宋体" w:hAnsi="宋体" w:eastAsia="宋体" w:cs="宋体"/>
          <w:kern w:val="0"/>
          <w:szCs w:val="21"/>
        </w:rPr>
        <w:t>.</w:t>
      </w:r>
      <w:bookmarkStart w:id="9" w:name="60ac1524-d79d-4fa9-bed9-8c96579152b2"/>
      <w:r>
        <w:rPr>
          <w:rFonts w:ascii="宋体" w:hAnsi="宋体" w:eastAsia="宋体" w:cs="宋体"/>
          <w:kern w:val="0"/>
          <w:szCs w:val="21"/>
        </w:rPr>
        <w:t>司马迁从小勤奋好学，青年时游历名山大川，他继任太史令后，秉承父亲的遗志，最终写成不朽历史巨著《史记》。下列史实在《史记》中能查到的是（　　）</w:t>
      </w:r>
      <w:bookmarkEnd w:id="9"/>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大泽乡起义</w:t>
      </w:r>
      <w:r>
        <w:tab/>
      </w:r>
      <w:r>
        <w:rPr>
          <w:rFonts w:hAnsi="Times New Roman" w:eastAsia="Times New Roman"/>
          <w:kern w:val="0"/>
          <w:szCs w:val="21"/>
        </w:rPr>
        <w:t xml:space="preserve">B. </w:t>
      </w:r>
      <w:r>
        <w:rPr>
          <w:rFonts w:ascii="宋体" w:hAnsi="宋体" w:eastAsia="宋体" w:cs="宋体"/>
          <w:kern w:val="0"/>
          <w:szCs w:val="21"/>
        </w:rPr>
        <w:t>西域都护府的设置</w:t>
      </w:r>
      <w:r>
        <w:tab/>
      </w:r>
      <w:r>
        <w:rPr>
          <w:rFonts w:hAnsi="Times New Roman" w:eastAsia="Times New Roman"/>
          <w:kern w:val="0"/>
          <w:szCs w:val="21"/>
        </w:rPr>
        <w:t xml:space="preserve">C. </w:t>
      </w:r>
      <w:r>
        <w:rPr>
          <w:rFonts w:ascii="宋体" w:hAnsi="宋体" w:eastAsia="宋体" w:cs="宋体"/>
          <w:kern w:val="0"/>
          <w:szCs w:val="21"/>
        </w:rPr>
        <w:t>西晋统一全国</w:t>
      </w:r>
      <w:r>
        <w:tab/>
      </w:r>
      <w:r>
        <w:rPr>
          <w:rFonts w:hAnsi="Times New Roman" w:eastAsia="Times New Roman"/>
          <w:kern w:val="0"/>
          <w:szCs w:val="21"/>
        </w:rPr>
        <w:t xml:space="preserve">D. </w:t>
      </w:r>
      <w:r>
        <w:rPr>
          <w:rFonts w:ascii="宋体" w:hAnsi="宋体" w:eastAsia="宋体" w:cs="宋体"/>
          <w:kern w:val="0"/>
          <w:szCs w:val="21"/>
        </w:rPr>
        <w:t>江南地区的开发</w:t>
      </w:r>
    </w:p>
    <w:p>
      <w:pPr>
        <w:numPr>
          <w:ilvl w:val="0"/>
          <w:numId w:val="0"/>
        </w:numPr>
        <w:shd w:val="clear" w:color="auto" w:fill="auto"/>
        <w:spacing w:line="360" w:lineRule="auto"/>
        <w:ind w:left="0"/>
        <w:jc w:val="left"/>
        <w:textAlignment w:val="center"/>
      </w:pPr>
      <w:r>
        <w:rPr>
          <w:rFonts w:hAnsi="Times New Roman" w:eastAsia="Times New Roman"/>
          <w:kern w:val="0"/>
          <w:szCs w:val="21"/>
        </w:rPr>
        <w:t>11</w:t>
      </w:r>
      <w:r>
        <w:rPr>
          <w:rFonts w:ascii="宋体" w:hAnsi="宋体" w:eastAsia="宋体" w:cs="宋体"/>
          <w:kern w:val="0"/>
          <w:szCs w:val="21"/>
        </w:rPr>
        <w:t>.</w:t>
      </w:r>
      <w:bookmarkStart w:id="10" w:name="b0b39a54-770f-45b1-bd52-1129889fb7eb"/>
      <w:r>
        <w:rPr>
          <w:rFonts w:ascii="宋体" w:hAnsi="宋体" w:eastAsia="宋体" w:cs="宋体"/>
          <w:kern w:val="0"/>
          <w:szCs w:val="21"/>
        </w:rPr>
        <w:t>灿若星辰的历史文化遗产，是人类珍贵的记忆，是古代劳动人民智慧的结晶。下列文化遗产具有明显的中外文化交汇交融特征的是（　　）</w:t>
      </w:r>
      <w:bookmarkEnd w:id="10"/>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1181100" cy="81915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181100" cy="819150"/>
                    </a:xfrm>
                    <a:prstGeom prst="rect">
                      <a:avLst/>
                    </a:prstGeom>
                    <a:noFill/>
                    <a:ln>
                      <a:noFill/>
                    </a:ln>
                  </pic:spPr>
                </pic:pic>
              </a:graphicData>
            </a:graphic>
          </wp:inline>
        </w:drawing>
      </w:r>
      <w:r>
        <w:rPr>
          <w:rFonts w:ascii="宋体" w:hAnsi="宋体" w:eastAsia="宋体" w:cs="宋体"/>
          <w:kern w:val="0"/>
          <w:szCs w:val="21"/>
        </w:rPr>
        <w:t>秦始皇陵兵马俑</w:t>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1181100" cy="77152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181100" cy="771525"/>
                    </a:xfrm>
                    <a:prstGeom prst="rect">
                      <a:avLst/>
                    </a:prstGeom>
                    <a:noFill/>
                    <a:ln>
                      <a:noFill/>
                    </a:ln>
                  </pic:spPr>
                </pic:pic>
              </a:graphicData>
            </a:graphic>
          </wp:inline>
        </w:drawing>
      </w:r>
      <w:r>
        <w:rPr>
          <w:rFonts w:ascii="宋体" w:hAnsi="宋体" w:eastAsia="宋体" w:cs="宋体"/>
          <w:kern w:val="0"/>
          <w:szCs w:val="21"/>
        </w:rPr>
        <w:t>龙门石窟</w:t>
      </w:r>
      <w:r>
        <w:br w:type="textWrapping"/>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1200150" cy="80962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00150" cy="809625"/>
                    </a:xfrm>
                    <a:prstGeom prst="rect">
                      <a:avLst/>
                    </a:prstGeom>
                    <a:noFill/>
                    <a:ln>
                      <a:noFill/>
                    </a:ln>
                  </pic:spPr>
                </pic:pic>
              </a:graphicData>
            </a:graphic>
          </wp:inline>
        </w:drawing>
      </w:r>
      <w:r>
        <w:rPr>
          <w:rFonts w:ascii="宋体" w:hAnsi="宋体" w:eastAsia="宋体" w:cs="宋体"/>
          <w:kern w:val="0"/>
          <w:szCs w:val="21"/>
        </w:rPr>
        <w:t>青城山</w:t>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1228725" cy="85725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228725" cy="857250"/>
                    </a:xfrm>
                    <a:prstGeom prst="rect">
                      <a:avLst/>
                    </a:prstGeom>
                    <a:noFill/>
                    <a:ln>
                      <a:noFill/>
                    </a:ln>
                  </pic:spPr>
                </pic:pic>
              </a:graphicData>
            </a:graphic>
          </wp:inline>
        </w:drawing>
      </w:r>
      <w:r>
        <w:rPr>
          <w:rFonts w:ascii="宋体" w:hAnsi="宋体" w:eastAsia="宋体" w:cs="宋体"/>
          <w:kern w:val="0"/>
          <w:szCs w:val="21"/>
        </w:rPr>
        <w:t>白马寺</w:t>
      </w:r>
    </w:p>
    <w:p>
      <w:pPr>
        <w:numPr>
          <w:ilvl w:val="0"/>
          <w:numId w:val="0"/>
        </w:numPr>
        <w:shd w:val="clear" w:color="auto" w:fill="auto"/>
        <w:spacing w:line="360" w:lineRule="auto"/>
        <w:ind w:left="0"/>
        <w:jc w:val="left"/>
        <w:textAlignment w:val="center"/>
      </w:pPr>
      <w:r>
        <w:rPr>
          <w:rFonts w:hAnsi="Times New Roman" w:eastAsia="Times New Roman"/>
          <w:kern w:val="0"/>
          <w:szCs w:val="21"/>
        </w:rPr>
        <w:t>12</w:t>
      </w:r>
      <w:r>
        <w:rPr>
          <w:rFonts w:ascii="宋体" w:hAnsi="宋体" w:eastAsia="宋体" w:cs="宋体"/>
          <w:kern w:val="0"/>
          <w:szCs w:val="21"/>
        </w:rPr>
        <w:t>.</w:t>
      </w:r>
      <w:bookmarkStart w:id="11" w:name="a0a227c4-dc48-4e47-834c-8784591a7fd1"/>
      <w:r>
        <w:rPr>
          <w:rFonts w:ascii="宋体" w:hAnsi="宋体" w:eastAsia="宋体" w:cs="宋体"/>
          <w:kern w:val="0"/>
          <w:szCs w:val="21"/>
        </w:rPr>
        <w:t>《三国志》中记载“公至赤壁，与备战，不利。于是大疫，吏士多死者，乃引军还。备遂有荆州、江南诸郡。”该战役（　　）</w:t>
      </w:r>
      <w:bookmarkEnd w:id="11"/>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发生于</w:t>
      </w:r>
      <w:r>
        <w:rPr>
          <w:rFonts w:hAnsi="Times New Roman" w:eastAsia="Times New Roman"/>
          <w:kern w:val="0"/>
          <w:szCs w:val="21"/>
        </w:rPr>
        <w:t>2</w:t>
      </w:r>
      <w:r>
        <w:rPr>
          <w:rFonts w:ascii="宋体" w:hAnsi="宋体" w:eastAsia="宋体" w:cs="宋体"/>
          <w:kern w:val="0"/>
          <w:szCs w:val="21"/>
        </w:rPr>
        <w:t>世纪初期</w:t>
      </w:r>
      <w:r>
        <w:tab/>
      </w:r>
      <w:r>
        <w:rPr>
          <w:rFonts w:hAnsi="Times New Roman" w:eastAsia="Times New Roman"/>
          <w:kern w:val="0"/>
          <w:szCs w:val="21"/>
        </w:rPr>
        <w:t xml:space="preserve">B. </w:t>
      </w:r>
      <w:r>
        <w:rPr>
          <w:rFonts w:ascii="宋体" w:hAnsi="宋体" w:eastAsia="宋体" w:cs="宋体"/>
          <w:kern w:val="0"/>
          <w:szCs w:val="21"/>
        </w:rPr>
        <w:t>导致前秦统治土崩瓦解</w:t>
      </w:r>
      <w:r>
        <w:br w:type="textWrapping"/>
      </w:r>
      <w:r>
        <w:rPr>
          <w:rFonts w:hAnsi="Times New Roman" w:eastAsia="Times New Roman"/>
          <w:kern w:val="0"/>
          <w:szCs w:val="21"/>
        </w:rPr>
        <w:t xml:space="preserve">C. </w:t>
      </w:r>
      <w:r>
        <w:rPr>
          <w:rFonts w:ascii="宋体" w:hAnsi="宋体" w:eastAsia="宋体" w:cs="宋体"/>
          <w:kern w:val="0"/>
          <w:szCs w:val="21"/>
        </w:rPr>
        <w:t>统一了长江以北地区</w:t>
      </w:r>
      <w:r>
        <w:tab/>
      </w:r>
      <w:r>
        <w:rPr>
          <w:rFonts w:hAnsi="Times New Roman" w:eastAsia="Times New Roman"/>
          <w:kern w:val="0"/>
          <w:szCs w:val="21"/>
        </w:rPr>
        <w:t xml:space="preserve">D. </w:t>
      </w:r>
      <w:r>
        <w:rPr>
          <w:rFonts w:ascii="宋体" w:hAnsi="宋体" w:eastAsia="宋体" w:cs="宋体"/>
          <w:kern w:val="0"/>
          <w:szCs w:val="21"/>
        </w:rPr>
        <w:t>奠定了三国鼎立的基础</w:t>
      </w:r>
    </w:p>
    <w:p>
      <w:pPr>
        <w:numPr>
          <w:ilvl w:val="0"/>
          <w:numId w:val="0"/>
        </w:numPr>
        <w:shd w:val="clear" w:color="auto" w:fill="auto"/>
        <w:spacing w:line="360" w:lineRule="auto"/>
        <w:ind w:left="0"/>
        <w:jc w:val="left"/>
        <w:textAlignment w:val="center"/>
      </w:pPr>
      <w:r>
        <w:rPr>
          <w:rFonts w:hAnsi="Times New Roman" w:eastAsia="Times New Roman"/>
          <w:kern w:val="0"/>
          <w:szCs w:val="21"/>
        </w:rPr>
        <w:t>13</w:t>
      </w:r>
      <w:r>
        <w:rPr>
          <w:rFonts w:ascii="宋体" w:hAnsi="宋体" w:eastAsia="宋体" w:cs="宋体"/>
          <w:kern w:val="0"/>
          <w:szCs w:val="21"/>
        </w:rPr>
        <w:t>.</w:t>
      </w:r>
      <w:bookmarkStart w:id="12" w:name="fc403874-b47b-4e47-a3b1-7508f71f6c38"/>
      <w:r>
        <w:rPr>
          <w:rFonts w:ascii="宋体" w:hAnsi="宋体" w:eastAsia="宋体" w:cs="宋体"/>
          <w:kern w:val="0"/>
          <w:szCs w:val="21"/>
        </w:rPr>
        <w:t>他忠于职守，公正无私，法令严明，治蜀有方，践行了“鞠躬尽力，死而后已”的诺言。他是（　　）</w:t>
      </w:r>
      <w:bookmarkEnd w:id="12"/>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主父偃</w:t>
      </w:r>
      <w:r>
        <w:tab/>
      </w:r>
      <w:r>
        <w:rPr>
          <w:rFonts w:hAnsi="Times New Roman" w:eastAsia="Times New Roman"/>
          <w:kern w:val="0"/>
          <w:szCs w:val="21"/>
        </w:rPr>
        <w:t xml:space="preserve">B. </w:t>
      </w:r>
      <w:r>
        <w:rPr>
          <w:rFonts w:ascii="宋体" w:hAnsi="宋体" w:eastAsia="宋体" w:cs="宋体"/>
          <w:kern w:val="0"/>
          <w:szCs w:val="21"/>
        </w:rPr>
        <w:t>董仲舒</w:t>
      </w:r>
      <w:r>
        <w:tab/>
      </w:r>
      <w:r>
        <w:rPr>
          <w:rFonts w:hAnsi="Times New Roman" w:eastAsia="Times New Roman"/>
          <w:kern w:val="0"/>
          <w:szCs w:val="21"/>
        </w:rPr>
        <w:t xml:space="preserve">C. </w:t>
      </w:r>
      <w:r>
        <w:rPr>
          <w:rFonts w:ascii="宋体" w:hAnsi="宋体" w:eastAsia="宋体" w:cs="宋体"/>
          <w:kern w:val="0"/>
          <w:szCs w:val="21"/>
        </w:rPr>
        <w:t>司马迁</w:t>
      </w:r>
      <w:r>
        <w:tab/>
      </w:r>
      <w:r>
        <w:rPr>
          <w:rFonts w:hAnsi="Times New Roman" w:eastAsia="Times New Roman"/>
          <w:kern w:val="0"/>
          <w:szCs w:val="21"/>
        </w:rPr>
        <w:t xml:space="preserve">D. </w:t>
      </w:r>
      <w:r>
        <w:rPr>
          <w:rFonts w:ascii="宋体" w:hAnsi="宋体" w:eastAsia="宋体" w:cs="宋体"/>
          <w:kern w:val="0"/>
          <w:szCs w:val="21"/>
        </w:rPr>
        <w:t>诸葛亮</w:t>
      </w:r>
    </w:p>
    <w:p>
      <w:pPr>
        <w:numPr>
          <w:ilvl w:val="0"/>
          <w:numId w:val="0"/>
        </w:numPr>
        <w:shd w:val="clear" w:color="auto" w:fill="auto"/>
        <w:spacing w:line="360" w:lineRule="auto"/>
        <w:ind w:left="0"/>
        <w:jc w:val="left"/>
        <w:textAlignment w:val="center"/>
      </w:pPr>
      <w:r>
        <w:rPr>
          <w:rFonts w:hAnsi="Times New Roman" w:eastAsia="Times New Roman"/>
          <w:kern w:val="0"/>
          <w:szCs w:val="21"/>
        </w:rPr>
        <w:t>14</w:t>
      </w:r>
      <w:r>
        <w:rPr>
          <w:rFonts w:ascii="宋体" w:hAnsi="宋体" w:eastAsia="宋体" w:cs="宋体"/>
          <w:kern w:val="0"/>
          <w:szCs w:val="21"/>
        </w:rPr>
        <w:t>.</w:t>
      </w:r>
      <w:bookmarkStart w:id="13" w:name="5bc65401-2e36-4760-b822-7cc6620e896b"/>
      <w:r>
        <w:rPr>
          <w:rFonts w:ascii="宋体" w:hAnsi="宋体" w:eastAsia="宋体" w:cs="宋体"/>
          <w:kern w:val="0"/>
          <w:szCs w:val="21"/>
        </w:rPr>
        <w:t>据史料记载，西晋时期内迁的鲜卑说自己是黄帝之子的后裔，内迁的匈奴铁弗部自称是大禹的后代。据此可以得出符合史实的结论是，西晋时期（　　）</w:t>
      </w:r>
      <w:bookmarkEnd w:id="13"/>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民族交融得到一定发展</w:t>
      </w:r>
      <w:r>
        <w:tab/>
      </w:r>
      <w:r>
        <w:rPr>
          <w:rFonts w:hAnsi="Times New Roman" w:eastAsia="Times New Roman"/>
          <w:kern w:val="0"/>
          <w:szCs w:val="21"/>
        </w:rPr>
        <w:t xml:space="preserve">B. </w:t>
      </w:r>
      <w:r>
        <w:rPr>
          <w:rFonts w:ascii="宋体" w:hAnsi="宋体" w:eastAsia="宋体" w:cs="宋体"/>
          <w:kern w:val="0"/>
          <w:szCs w:val="21"/>
        </w:rPr>
        <w:t>鲜卑与黄帝有血缘关系</w:t>
      </w:r>
      <w:r>
        <w:br w:type="textWrapping"/>
      </w:r>
      <w:r>
        <w:rPr>
          <w:rFonts w:hAnsi="Times New Roman" w:eastAsia="Times New Roman"/>
          <w:kern w:val="0"/>
          <w:szCs w:val="21"/>
        </w:rPr>
        <w:t xml:space="preserve">C. </w:t>
      </w:r>
      <w:r>
        <w:rPr>
          <w:rFonts w:ascii="宋体" w:hAnsi="宋体" w:eastAsia="宋体" w:cs="宋体"/>
          <w:kern w:val="0"/>
          <w:szCs w:val="21"/>
        </w:rPr>
        <w:t>诸侯王的势力日益强大</w:t>
      </w:r>
      <w:r>
        <w:tab/>
      </w:r>
      <w:r>
        <w:rPr>
          <w:rFonts w:hAnsi="Times New Roman" w:eastAsia="Times New Roman"/>
          <w:kern w:val="0"/>
          <w:szCs w:val="21"/>
        </w:rPr>
        <w:t xml:space="preserve">D. </w:t>
      </w:r>
      <w:r>
        <w:rPr>
          <w:rFonts w:ascii="宋体" w:hAnsi="宋体" w:eastAsia="宋体" w:cs="宋体"/>
          <w:kern w:val="0"/>
          <w:szCs w:val="21"/>
        </w:rPr>
        <w:t>江南地区得到迅速开发</w:t>
      </w:r>
    </w:p>
    <w:p>
      <w:pPr>
        <w:numPr>
          <w:ilvl w:val="0"/>
          <w:numId w:val="0"/>
        </w:numPr>
        <w:shd w:val="clear" w:color="auto" w:fill="auto"/>
        <w:spacing w:line="360" w:lineRule="auto"/>
        <w:ind w:left="0"/>
        <w:jc w:val="left"/>
        <w:textAlignment w:val="center"/>
      </w:pPr>
      <w:r>
        <w:rPr>
          <w:rFonts w:hAnsi="Times New Roman" w:eastAsia="Times New Roman"/>
          <w:kern w:val="0"/>
          <w:szCs w:val="21"/>
        </w:rPr>
        <w:t>15</w:t>
      </w:r>
      <w:r>
        <w:rPr>
          <w:rFonts w:ascii="宋体" w:hAnsi="宋体" w:eastAsia="宋体" w:cs="宋体"/>
          <w:kern w:val="0"/>
          <w:szCs w:val="21"/>
        </w:rPr>
        <w:t>.</w:t>
      </w:r>
      <w:bookmarkStart w:id="14" w:name="1b42806e-effb-41d3-abad-3c8a76845158"/>
      <w:r>
        <w:rPr>
          <w:rFonts w:ascii="宋体" w:hAnsi="宋体" w:eastAsia="宋体" w:cs="宋体"/>
          <w:kern w:val="0"/>
          <w:szCs w:val="21"/>
        </w:rPr>
        <w:t>这是中国古代又一次以少胜多的著名战役，产生了“风声鹤唳”“草木皆兵”等典故。这场战役是（　　）</w:t>
      </w:r>
      <w:bookmarkEnd w:id="14"/>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巨鹿之战</w:t>
      </w:r>
      <w:r>
        <w:tab/>
      </w:r>
      <w:r>
        <w:rPr>
          <w:rFonts w:hAnsi="Times New Roman" w:eastAsia="Times New Roman"/>
          <w:kern w:val="0"/>
          <w:szCs w:val="21"/>
        </w:rPr>
        <w:t xml:space="preserve">B. </w:t>
      </w:r>
      <w:r>
        <w:rPr>
          <w:rFonts w:ascii="宋体" w:hAnsi="宋体" w:eastAsia="宋体" w:cs="宋体"/>
          <w:kern w:val="0"/>
          <w:szCs w:val="21"/>
        </w:rPr>
        <w:t>官渡之战</w:t>
      </w:r>
      <w:r>
        <w:tab/>
      </w:r>
      <w:r>
        <w:rPr>
          <w:rFonts w:hAnsi="Times New Roman" w:eastAsia="Times New Roman"/>
          <w:kern w:val="0"/>
          <w:szCs w:val="21"/>
        </w:rPr>
        <w:t xml:space="preserve">C. </w:t>
      </w:r>
      <w:r>
        <w:rPr>
          <w:rFonts w:ascii="宋体" w:hAnsi="宋体" w:eastAsia="宋体" w:cs="宋体"/>
          <w:kern w:val="0"/>
          <w:szCs w:val="21"/>
        </w:rPr>
        <w:t>赤壁之战</w:t>
      </w:r>
      <w:r>
        <w:tab/>
      </w:r>
      <w:r>
        <w:rPr>
          <w:rFonts w:hAnsi="Times New Roman" w:eastAsia="Times New Roman"/>
          <w:kern w:val="0"/>
          <w:szCs w:val="21"/>
        </w:rPr>
        <w:t xml:space="preserve">D. </w:t>
      </w:r>
      <w:r>
        <w:rPr>
          <w:rFonts w:ascii="宋体" w:hAnsi="宋体" w:eastAsia="宋体" w:cs="宋体"/>
          <w:kern w:val="0"/>
          <w:szCs w:val="21"/>
        </w:rPr>
        <w:t>淝水之战</w:t>
      </w:r>
    </w:p>
    <w:p>
      <w:pPr>
        <w:numPr>
          <w:ilvl w:val="0"/>
          <w:numId w:val="0"/>
        </w:numPr>
        <w:shd w:val="clear" w:color="auto" w:fill="auto"/>
        <w:spacing w:line="360" w:lineRule="auto"/>
        <w:ind w:left="0"/>
        <w:jc w:val="left"/>
        <w:textAlignment w:val="center"/>
      </w:pPr>
      <w:r>
        <w:rPr>
          <w:rFonts w:hAnsi="Times New Roman" w:eastAsia="Times New Roman"/>
          <w:kern w:val="0"/>
          <w:szCs w:val="21"/>
        </w:rPr>
        <w:t>16</w:t>
      </w:r>
      <w:r>
        <w:rPr>
          <w:rFonts w:ascii="宋体" w:hAnsi="宋体" w:eastAsia="宋体" w:cs="宋体"/>
          <w:kern w:val="0"/>
          <w:szCs w:val="21"/>
        </w:rPr>
        <w:t>.</w:t>
      </w:r>
      <w:bookmarkStart w:id="15" w:name="b02f0c41-2a60-423c-8e20-58477d85fbc5"/>
      <w:r>
        <w:rPr>
          <w:rFonts w:ascii="宋体" w:hAnsi="宋体" w:eastAsia="宋体" w:cs="宋体"/>
          <w:kern w:val="0"/>
          <w:szCs w:val="21"/>
        </w:rPr>
        <w:t>如表是某同学在一节历史课堂上整理的笔记。由此可知，他本节课学习的内容是（　　）</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929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rPr>
          <w:cantSplit/>
        </w:trPr>
        <w:tc>
          <w:tcPr>
            <w:noWrap w:val="0"/>
            <w:tcMar>
              <w:top w:w="22" w:type="dxa"/>
              <w:left w:w="22" w:type="dxa"/>
              <w:bottom w:w="22" w:type="dxa"/>
              <w:right w:w="22"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1.</w:t>
            </w:r>
            <w:r>
              <w:rPr>
                <w:rFonts w:ascii="宋体" w:hAnsi="宋体" w:eastAsia="宋体" w:cs="宋体"/>
                <w:b w:val="0"/>
                <w:bCs w:val="0"/>
                <w:i w:val="0"/>
                <w:iCs w:val="0"/>
                <w:smallCaps w:val="0"/>
                <w:color w:val="000000"/>
                <w:kern w:val="0"/>
                <w:szCs w:val="21"/>
              </w:rPr>
              <w:t>商鞅变法为秦国统一中国奠定基础。</w:t>
            </w:r>
            <w:r>
              <w:rPr>
                <w:rFonts w:ascii="宋体" w:hAnsi="宋体" w:eastAsia="宋体" w:cs="宋体"/>
                <w:b w:val="0"/>
                <w:bCs w:val="0"/>
                <w:i w:val="0"/>
                <w:iCs w:val="0"/>
                <w:smallCaps w:val="0"/>
                <w:color w:val="000000"/>
                <w:kern w:val="0"/>
                <w:szCs w:val="21"/>
              </w:rPr>
              <w:br w:type="textWrapping"/>
            </w:r>
            <w:r>
              <w:rPr>
                <w:rFonts w:hAnsi="Times New Roman" w:eastAsia="Times New Roman"/>
                <w:b w:val="0"/>
                <w:bCs w:val="0"/>
                <w:i w:val="0"/>
                <w:iCs w:val="0"/>
                <w:smallCaps w:val="0"/>
                <w:color w:val="000000"/>
                <w:kern w:val="0"/>
                <w:szCs w:val="21"/>
              </w:rPr>
              <w:t>2.</w:t>
            </w:r>
            <w:r>
              <w:rPr>
                <w:rFonts w:ascii="宋体" w:hAnsi="宋体" w:eastAsia="宋体" w:cs="宋体"/>
                <w:b w:val="0"/>
                <w:bCs w:val="0"/>
                <w:i w:val="0"/>
                <w:iCs w:val="0"/>
                <w:smallCaps w:val="0"/>
                <w:color w:val="000000"/>
                <w:kern w:val="0"/>
                <w:szCs w:val="21"/>
              </w:rPr>
              <w:t>孝文帝改革增强了北魏实力。</w:t>
            </w:r>
            <w:r>
              <w:rPr>
                <w:rFonts w:ascii="宋体" w:hAnsi="宋体" w:eastAsia="宋体" w:cs="宋体"/>
                <w:b w:val="0"/>
                <w:bCs w:val="0"/>
                <w:i w:val="0"/>
                <w:iCs w:val="0"/>
                <w:smallCaps w:val="0"/>
                <w:color w:val="000000"/>
                <w:kern w:val="0"/>
                <w:szCs w:val="21"/>
              </w:rPr>
              <w:br w:type="textWrapping"/>
            </w:r>
            <w:r>
              <w:rPr>
                <w:rFonts w:hAnsi="Times New Roman" w:eastAsia="Times New Roman"/>
                <w:b w:val="0"/>
                <w:bCs w:val="0"/>
                <w:i w:val="0"/>
                <w:iCs w:val="0"/>
                <w:smallCaps w:val="0"/>
                <w:color w:val="000000"/>
                <w:kern w:val="0"/>
                <w:szCs w:val="21"/>
              </w:rPr>
              <w:t>3.</w:t>
            </w:r>
            <w:r>
              <w:rPr>
                <w:rFonts w:ascii="宋体" w:hAnsi="宋体" w:eastAsia="宋体" w:cs="宋体"/>
                <w:b w:val="0"/>
                <w:bCs w:val="0"/>
                <w:i w:val="0"/>
                <w:iCs w:val="0"/>
                <w:smallCaps w:val="0"/>
                <w:color w:val="000000"/>
                <w:kern w:val="0"/>
                <w:szCs w:val="21"/>
              </w:rPr>
              <w:t>王安石变法使北宋政府的财政收入有所增加。</w:t>
            </w:r>
          </w:p>
        </w:tc>
      </w:tr>
      <w:bookmarkEnd w:id="15"/>
    </w:tbl>
    <w:p>
      <w:pPr>
        <w:spacing w:line="360" w:lineRule="auto"/>
        <w:textAlignment w:val="center"/>
        <w:rPr>
          <w:rFonts w:ascii="Times New Roman" w:hAnsi="Times New Roman" w:eastAsia="Times New Roman" w:cs="Times New Roman"/>
          <w:kern w:val="0"/>
          <w:sz w:val="24"/>
          <w:szCs w:val="24"/>
        </w:rPr>
      </w:pPr>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经济重心南移</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改革推动发展</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国家走向统一</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君主专制强化</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17</w:t>
      </w:r>
      <w:r>
        <w:rPr>
          <w:rFonts w:ascii="宋体" w:hAnsi="宋体" w:eastAsia="宋体" w:cs="宋体"/>
          <w:kern w:val="0"/>
          <w:szCs w:val="21"/>
        </w:rPr>
        <w:t>.</w:t>
      </w:r>
      <w:bookmarkStart w:id="16" w:name="eb5c3116-15de-4356-aa39-6fac905bcb46"/>
      <w:r>
        <w:rPr>
          <w:rFonts w:ascii="宋体" w:hAnsi="宋体" w:eastAsia="宋体" w:cs="宋体"/>
          <w:kern w:val="0"/>
          <w:szCs w:val="21"/>
        </w:rPr>
        <w:t>东晋时期，王羲之写下《兰亭集序》，文中记录创作的时间为“岁在癸丑”（“癸丑年”）。其运用的纪年法是（　　）</w:t>
      </w:r>
      <w:bookmarkEnd w:id="16"/>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年号纪年法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干支纪年法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王位纪年法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公元纪年法</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18</w:t>
      </w:r>
      <w:r>
        <w:rPr>
          <w:rFonts w:ascii="宋体" w:hAnsi="宋体" w:eastAsia="宋体" w:cs="宋体"/>
          <w:kern w:val="0"/>
          <w:szCs w:val="21"/>
        </w:rPr>
        <w:t>.</w:t>
      </w:r>
      <w:bookmarkStart w:id="17" w:name="1be2d5ec-313a-4d50-b6e0-16b7b3f5b6d5"/>
      <w:r>
        <w:rPr>
          <w:rFonts w:ascii="宋体" w:hAnsi="宋体" w:eastAsia="宋体" w:cs="宋体"/>
          <w:kern w:val="0"/>
          <w:szCs w:val="21"/>
        </w:rPr>
        <w:t>北魏贾思勰整理古书中的农业知识，从民谣谚语中汲取农民的生产经验，在生产实践中加以证明和丰富，撰写了《齐民要术》；南朝祖冲之运用刘徽的方法，把圆周率精确到小数点后第七位数字。两人成就的取得都源于（　　）</w:t>
      </w:r>
      <w:bookmarkEnd w:id="17"/>
    </w:p>
    <w:p>
      <w:pPr>
        <w:numPr>
          <w:ilvl w:val="0"/>
          <w:numId w:val="0"/>
        </w:numPr>
        <w:tabs>
          <w:tab w:val="left" w:pos="420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注重理论总结，轻视实践探索</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借鉴前人成果，开展创新研究</w:t>
      </w:r>
      <w:r>
        <w:rPr>
          <w:rFonts w:ascii="Times New Roman" w:hAnsi="Times New Roman" w:eastAsia="Times New Roman" w:cs="Times New Roman"/>
          <w:kern w:val="0"/>
          <w:sz w:val="24"/>
          <w:szCs w:val="24"/>
        </w:rPr>
        <w:br w:type="textWrapping"/>
      </w:r>
      <w:r>
        <w:rPr>
          <w:rFonts w:hAnsi="Times New Roman" w:eastAsia="Times New Roman"/>
          <w:kern w:val="0"/>
          <w:szCs w:val="21"/>
        </w:rPr>
        <w:t xml:space="preserve">C. </w:t>
      </w:r>
      <w:r>
        <w:rPr>
          <w:rFonts w:ascii="宋体" w:hAnsi="宋体" w:eastAsia="宋体" w:cs="宋体"/>
          <w:kern w:val="0"/>
          <w:szCs w:val="21"/>
        </w:rPr>
        <w:t>依赖历史文献，排斥民间智慧</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凭借个人创造，脱离生产实践</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19</w:t>
      </w:r>
      <w:r>
        <w:rPr>
          <w:rFonts w:ascii="宋体" w:hAnsi="宋体" w:eastAsia="宋体" w:cs="宋体"/>
          <w:kern w:val="0"/>
          <w:szCs w:val="21"/>
        </w:rPr>
        <w:t>.</w:t>
      </w:r>
      <w:bookmarkStart w:id="18" w:name="62827b92-bd31-44d7-834c-5c6bc10acc60"/>
      <w:r>
        <w:rPr>
          <w:rFonts w:ascii="宋体" w:hAnsi="宋体" w:eastAsia="宋体" w:cs="宋体"/>
          <w:kern w:val="0"/>
          <w:szCs w:val="21"/>
        </w:rPr>
        <w:t>三国鼎立局面的形成，实现了局部统一，西晋在此基础上短暂统一了全国。随后，前秦、北魏先后统一北方，最终隋灭陈统一全国。这最能说明（　　）</w:t>
      </w:r>
      <w:bookmarkEnd w:id="18"/>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分裂中孕育着统一</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民族交往交融加强</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南方政权更替频繁</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江南地区得到开发</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20</w:t>
      </w:r>
      <w:r>
        <w:rPr>
          <w:rFonts w:ascii="宋体" w:hAnsi="宋体" w:eastAsia="宋体" w:cs="宋体"/>
          <w:kern w:val="0"/>
          <w:szCs w:val="21"/>
        </w:rPr>
        <w:t>.</w:t>
      </w:r>
      <w:bookmarkStart w:id="19" w:name="4d74c9d6-1cf4-4210-802b-dc09433582f8"/>
      <w:r>
        <w:rPr>
          <w:rFonts w:ascii="宋体" w:hAnsi="宋体" w:eastAsia="宋体" w:cs="宋体"/>
          <w:kern w:val="0"/>
          <w:szCs w:val="21"/>
        </w:rPr>
        <w:t>为方便记忆，小历让</w:t>
      </w:r>
      <w:r>
        <w:rPr>
          <w:rFonts w:hAnsi="Times New Roman" w:eastAsia="Times New Roman"/>
          <w:kern w:val="0"/>
          <w:szCs w:val="21"/>
        </w:rPr>
        <w:t>AI</w:t>
      </w:r>
      <w:r>
        <w:rPr>
          <w:rFonts w:ascii="宋体" w:hAnsi="宋体" w:eastAsia="宋体" w:cs="宋体"/>
          <w:kern w:val="0"/>
          <w:szCs w:val="21"/>
        </w:rPr>
        <w:t>帮他写了一首朝代顺序诗：“夏启传宗四百年，商周礼序甲骨传。秦汉风云三国乱，两晋南北几朝迁”。根据诗的表述，下列年代尺应完善的内容依次是（　　）</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strike w:val="0"/>
          <w:kern w:val="0"/>
          <w:sz w:val="24"/>
          <w:szCs w:val="24"/>
          <w:u w:val="none"/>
        </w:rPr>
        <w:drawing>
          <wp:inline distT="0" distB="0" distL="0" distR="0">
            <wp:extent cx="5267325" cy="29527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67325" cy="295275"/>
                    </a:xfrm>
                    <a:prstGeom prst="rect">
                      <a:avLst/>
                    </a:prstGeom>
                    <a:noFill/>
                    <a:ln>
                      <a:noFill/>
                    </a:ln>
                  </pic:spPr>
                </pic:pic>
              </a:graphicData>
            </a:graphic>
          </wp:inline>
        </w:drawing>
      </w:r>
      <w:bookmarkEnd w:id="19"/>
    </w:p>
    <w:p>
      <w:pPr>
        <w:numPr>
          <w:ilvl w:val="0"/>
          <w:numId w:val="0"/>
        </w:numPr>
        <w:tabs>
          <w:tab w:val="left" w:pos="420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①西周、②西晋、③东汉、④春秋</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①西周、②春秋、③西晋、④东汉</w:t>
      </w:r>
      <w:r>
        <w:rPr>
          <w:rFonts w:ascii="Times New Roman" w:hAnsi="Times New Roman" w:eastAsia="Times New Roman" w:cs="Times New Roman"/>
          <w:kern w:val="0"/>
          <w:sz w:val="24"/>
          <w:szCs w:val="24"/>
        </w:rPr>
        <w:br w:type="textWrapping"/>
      </w:r>
      <w:r>
        <w:rPr>
          <w:rFonts w:hAnsi="Times New Roman" w:eastAsia="Times New Roman"/>
          <w:kern w:val="0"/>
          <w:szCs w:val="21"/>
        </w:rPr>
        <w:t xml:space="preserve">C. </w:t>
      </w:r>
      <w:r>
        <w:rPr>
          <w:rFonts w:ascii="宋体" w:hAnsi="宋体" w:eastAsia="宋体" w:cs="宋体"/>
          <w:kern w:val="0"/>
          <w:szCs w:val="21"/>
        </w:rPr>
        <w:t>①春秋、②东汉、③西周、④西晋</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①西周、②春秋、③东汉、④西晋</w:t>
      </w:r>
    </w:p>
    <w:p>
      <w:pPr>
        <w:numPr>
          <w:ilvl w:val="0"/>
          <w:numId w:val="0"/>
        </w:numPr>
        <w:tabs>
          <w:tab w:val="left" w:pos="4200"/>
        </w:tabs>
        <w:spacing w:line="360" w:lineRule="auto"/>
        <w:ind w:left="0"/>
        <w:jc w:val="left"/>
        <w:textAlignment w:val="center"/>
        <w:rPr>
          <w:rFonts w:ascii="Times New Roman" w:hAnsi="Times New Roman" w:eastAsia="Times New Roman" w:cs="Times New Roman"/>
          <w:kern w:val="0"/>
          <w:sz w:val="24"/>
          <w:szCs w:val="24"/>
        </w:rPr>
      </w:pPr>
      <w:r>
        <w:rPr>
          <w:rFonts w:ascii="黑体" w:hAnsi="黑体" w:eastAsia="黑体" w:cs="黑体"/>
          <w:b w:val="0"/>
          <w:sz w:val="21"/>
        </w:rPr>
        <w:t>二、材料解析题：本大题共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40</w:t>
      </w:r>
      <w:r>
        <w:rPr>
          <w:rFonts w:ascii="黑体" w:hAnsi="黑体" w:eastAsia="黑体" w:cs="黑体"/>
          <w:b w:val="0"/>
          <w:sz w:val="21"/>
        </w:rPr>
        <w:t>分。</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21</w:t>
      </w:r>
      <w:r>
        <w:rPr>
          <w:rFonts w:ascii="宋体" w:hAnsi="宋体" w:eastAsia="宋体" w:cs="宋体"/>
          <w:kern w:val="0"/>
          <w:szCs w:val="21"/>
        </w:rPr>
        <w:t>.</w:t>
      </w:r>
      <w:bookmarkStart w:id="20" w:name="7da3fb81-0cd8-4777-b8ff-97821bb797df"/>
      <w:r>
        <w:rPr>
          <w:rFonts w:ascii="宋体" w:hAnsi="宋体" w:eastAsia="宋体" w:cs="宋体"/>
          <w:kern w:val="0"/>
          <w:szCs w:val="21"/>
        </w:rPr>
        <w:t>农业是古代中国的经济基础，农业生产具有悠久历史，促进农业发展的因素多种多样。阅读材料，完成下列要求。</w:t>
      </w:r>
      <w:r>
        <w:rPr>
          <w:rFonts w:ascii="宋体" w:hAnsi="宋体" w:eastAsia="宋体" w:cs="宋体"/>
          <w:kern w:val="0"/>
          <w:szCs w:val="21"/>
        </w:rPr>
        <w:br w:type="textWrapping"/>
      </w:r>
      <w:r>
        <w:rPr>
          <w:rFonts w:ascii="宋体" w:hAnsi="宋体" w:eastAsia="宋体" w:cs="宋体"/>
          <w:kern w:val="0"/>
          <w:szCs w:val="21"/>
        </w:rPr>
        <w:t>材料一：中国地区的人类，至晚在公元前六七千年，发展了农业，也发展了定居的聚落。北方的粟作农业及黄土房屋，与南方的稻作农业及竹木建筑，都是因地制宜，各有特色。</w:t>
      </w:r>
    </w:p>
    <w:p>
      <w:pPr>
        <w:spacing w:before="0" w:after="0" w:line="360" w:lineRule="auto"/>
        <w:jc w:val="right"/>
        <w:textAlignment w:val="center"/>
        <w:rPr>
          <w:rFonts w:ascii="Times New Roman" w:hAnsi="Times New Roman" w:eastAsia="Times New Roman" w:cs="Times New Roman"/>
          <w:kern w:val="0"/>
          <w:sz w:val="24"/>
          <w:szCs w:val="24"/>
        </w:rPr>
      </w:pPr>
      <w:r>
        <w:rPr>
          <w:rFonts w:ascii="宋体" w:hAnsi="宋体" w:eastAsia="宋体" w:cs="宋体"/>
          <w:kern w:val="0"/>
          <w:szCs w:val="21"/>
        </w:rPr>
        <w:t>——摘编自许倬云《万古江河》</w:t>
      </w:r>
    </w:p>
    <w:p>
      <w:pPr>
        <w:spacing w:line="360" w:lineRule="auto"/>
        <w:textAlignment w:val="center"/>
        <w:rPr>
          <w:rFonts w:ascii="宋体" w:hAnsi="宋体" w:eastAsia="宋体" w:cs="宋体"/>
          <w:kern w:val="0"/>
          <w:szCs w:val="21"/>
        </w:rPr>
      </w:pPr>
      <w:r>
        <w:rPr>
          <w:rFonts w:ascii="宋体" w:hAnsi="宋体" w:eastAsia="宋体" w:cs="宋体"/>
          <w:kern w:val="0"/>
          <w:szCs w:val="21"/>
        </w:rPr>
        <w:t>材料二：</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2728"/>
        <w:gridCol w:w="6567"/>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2472" w:type="dxa"/>
            <w:tcBorders>
              <w:right w:val="inset" w:color="000000" w:sz="4" w:space="0"/>
            </w:tcBorders>
            <w:noWrap w:val="0"/>
            <w:tcMar>
              <w:top w:w="22" w:type="dxa"/>
              <w:left w:w="22"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343025" cy="143827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343025" cy="1438275"/>
                          </a:xfrm>
                          <a:prstGeom prst="rect">
                            <a:avLst/>
                          </a:prstGeom>
                          <a:noFill/>
                          <a:ln>
                            <a:noFill/>
                          </a:ln>
                        </pic:spPr>
                      </pic:pic>
                    </a:graphicData>
                  </a:graphic>
                </wp:inline>
              </w:drawing>
            </w:r>
          </w:p>
        </w:tc>
        <w:tc>
          <w:tcPr>
            <w:tcW w:w="5952" w:type="dxa"/>
            <w:tcBorders>
              <w:left w:val="inset" w:color="000000" w:sz="4" w:space="0"/>
            </w:tcBorders>
            <w:noWrap w:val="0"/>
            <w:tcMar>
              <w:top w:w="22" w:type="dxa"/>
              <w:left w:w="20" w:type="dxa"/>
              <w:bottom w:w="22" w:type="dxa"/>
              <w:right w:w="22" w:type="dxa"/>
            </w:tcMar>
            <w:vAlign w:val="center"/>
          </w:tcPr>
          <w:p>
            <w:pPr>
              <w:spacing w:line="360" w:lineRule="auto"/>
              <w:jc w:val="right"/>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都江堰之所以与众不同，在于其科学地利用了川西平原西高东低的地理特点，通过岷江分流和自动调控内、外江进水量，使成都平原旱不缺水，洪不成涝，实现了排、灌两便，因此《华阳国志》称誉都江堰做到了“水旱从人”……被后人称为“川西第一奇功”。——摘编自邹礼洪《古都江堰“以水治水”的技术成就》</w:t>
            </w:r>
          </w:p>
        </w:tc>
      </w:tr>
    </w:tbl>
    <w:p>
      <w:pPr>
        <w:spacing w:line="360" w:lineRule="auto"/>
        <w:textAlignment w:val="center"/>
        <w:rPr>
          <w:rFonts w:ascii="宋体" w:hAnsi="宋体" w:eastAsia="宋体" w:cs="宋体"/>
          <w:kern w:val="0"/>
          <w:szCs w:val="21"/>
        </w:rPr>
      </w:pPr>
      <w:r>
        <w:rPr>
          <w:rFonts w:ascii="宋体" w:hAnsi="宋体" w:eastAsia="宋体" w:cs="宋体"/>
          <w:kern w:val="0"/>
          <w:szCs w:val="21"/>
        </w:rPr>
        <w:t>材料三：从西晋末年“永嘉之乱”起，北方长时间陷入战乱之中，中原百姓不断南下，黄河中下游地区一片萧条，南方则在相对稳定条件下利用北方南迁的大批劳动力和先进的生产工具、生产经验，经济得以发展。</w:t>
      </w:r>
      <w:r>
        <w:rPr>
          <w:rFonts w:ascii="宋体" w:hAnsi="宋体" w:eastAsia="宋体" w:cs="宋体"/>
          <w:kern w:val="0"/>
          <w:szCs w:val="21"/>
        </w:rPr>
        <w:br w:type="textWrapping"/>
      </w:r>
      <w:r>
        <w:rPr>
          <w:rFonts w:ascii="宋体" w:hAnsi="宋体" w:eastAsia="宋体" w:cs="宋体"/>
          <w:kern w:val="0"/>
          <w:szCs w:val="21"/>
        </w:rPr>
        <w:t>——摘编自刘亚荷《中国古代经济重心南移的完成》</w:t>
      </w:r>
      <w:bookmarkEnd w:id="20"/>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(1) </w:t>
      </w:r>
      <w:r>
        <w:rPr>
          <w:rFonts w:ascii="宋体" w:hAnsi="宋体" w:eastAsia="宋体" w:cs="宋体"/>
          <w:kern w:val="0"/>
          <w:szCs w:val="21"/>
        </w:rPr>
        <w:t>根据材料一并结合所学内容，指出中国古代粮食作物的地域分布特点，并分析造成这种差异的主要原因</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(2) </w:t>
      </w:r>
      <w:r>
        <w:rPr>
          <w:rFonts w:ascii="宋体" w:hAnsi="宋体" w:eastAsia="宋体" w:cs="宋体"/>
          <w:kern w:val="0"/>
          <w:szCs w:val="21"/>
        </w:rPr>
        <w:t>根据材料二，概括都江堰“与众不同”的表现，并结合所学内容分析都江堰的建成对周边地区农业发展的影响</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(3) </w:t>
      </w:r>
      <w:r>
        <w:rPr>
          <w:rFonts w:ascii="宋体" w:hAnsi="宋体" w:eastAsia="宋体" w:cs="宋体"/>
          <w:kern w:val="0"/>
          <w:szCs w:val="21"/>
        </w:rPr>
        <w:t>根据材料三并结合所学内容，简析“中原百姓不断南下”对江南地区的影响</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(4) </w:t>
      </w:r>
      <w:r>
        <w:rPr>
          <w:rFonts w:ascii="宋体" w:hAnsi="宋体" w:eastAsia="宋体" w:cs="宋体"/>
          <w:kern w:val="0"/>
          <w:szCs w:val="21"/>
        </w:rPr>
        <w:t>综合上述材料，归纳促进中国古代农业发展的因素</w:t>
      </w:r>
    </w:p>
    <w:p>
      <w:pPr>
        <w:numPr>
          <w:ilvl w:val="0"/>
          <w:numId w:val="0"/>
        </w:numPr>
        <w:shd w:val="clear" w:color="auto" w:fill="auto"/>
        <w:spacing w:before="0" w:after="0" w:line="360" w:lineRule="auto"/>
        <w:ind w:left="0"/>
        <w:jc w:val="left"/>
        <w:textAlignment w:val="center"/>
        <w:rPr>
          <w:rFonts w:ascii="宋体" w:hAnsi="宋体" w:eastAsia="宋体" w:cs="宋体"/>
          <w:kern w:val="0"/>
          <w:szCs w:val="21"/>
        </w:rPr>
      </w:pPr>
      <w:r>
        <w:rPr>
          <w:rFonts w:hAnsi="Times New Roman" w:eastAsia="Times New Roman"/>
          <w:kern w:val="0"/>
          <w:szCs w:val="21"/>
        </w:rPr>
        <w:t>22</w:t>
      </w:r>
      <w:r>
        <w:rPr>
          <w:rFonts w:ascii="宋体" w:hAnsi="宋体" w:eastAsia="宋体" w:cs="宋体"/>
          <w:kern w:val="0"/>
          <w:szCs w:val="21"/>
        </w:rPr>
        <w:t>.</w:t>
      </w:r>
      <w:bookmarkStart w:id="21" w:name="e3fef03b-fae5-46f2-a4fb-5861b79bda9f"/>
      <w:r>
        <w:rPr>
          <w:rFonts w:ascii="宋体" w:hAnsi="宋体" w:eastAsia="宋体" w:cs="宋体"/>
          <w:kern w:val="0"/>
          <w:szCs w:val="21"/>
        </w:rPr>
        <w:t>画像石是汉代的一种建筑艺术，是汉代文化艺术的重要组成部分，也是我们了解汉代社会生活、研究历史文化的重要途径。阅读材料，完成下列要求。</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2922"/>
        <w:gridCol w:w="2948"/>
        <w:gridCol w:w="342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2742" w:type="dxa"/>
            <w:tcBorders>
              <w:bottom w:val="inset" w:color="000000" w:sz="4" w:space="0"/>
              <w:right w:val="inset" w:color="000000" w:sz="4" w:space="0"/>
            </w:tcBorders>
            <w:noWrap w:val="0"/>
            <w:tcMar>
              <w:top w:w="22" w:type="dxa"/>
              <w:left w:w="22"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447800" cy="135255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447800" cy="1352550"/>
                          </a:xfrm>
                          <a:prstGeom prst="rect">
                            <a:avLst/>
                          </a:prstGeom>
                          <a:noFill/>
                          <a:ln>
                            <a:noFill/>
                          </a:ln>
                        </pic:spPr>
                      </pic:pic>
                    </a:graphicData>
                  </a:graphic>
                </wp:inline>
              </w:drawing>
            </w:r>
          </w:p>
        </w:tc>
        <w:tc>
          <w:tcPr>
            <w:tcW w:w="2605" w:type="dxa"/>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504950" cy="12668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504950" cy="1266825"/>
                          </a:xfrm>
                          <a:prstGeom prst="rect">
                            <a:avLst/>
                          </a:prstGeom>
                          <a:noFill/>
                          <a:ln>
                            <a:noFill/>
                          </a:ln>
                        </pic:spPr>
                      </pic:pic>
                    </a:graphicData>
                  </a:graphic>
                </wp:inline>
              </w:drawing>
            </w:r>
          </w:p>
        </w:tc>
        <w:tc>
          <w:tcPr>
            <w:tcW w:w="3132" w:type="dxa"/>
            <w:tcBorders>
              <w:left w:val="inset" w:color="000000" w:sz="4" w:space="0"/>
              <w:bottom w:val="inset" w:color="000000" w:sz="4" w:space="0"/>
            </w:tcBorders>
            <w:noWrap w:val="0"/>
            <w:tcMar>
              <w:top w:w="22" w:type="dxa"/>
              <w:left w:w="20" w:type="dxa"/>
              <w:bottom w:w="20" w:type="dxa"/>
              <w:right w:w="22"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838325" cy="144780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838325" cy="1447800"/>
                          </a:xfrm>
                          <a:prstGeom prst="rect">
                            <a:avLst/>
                          </a:prstGeom>
                          <a:noFill/>
                          <a:ln>
                            <a:noFill/>
                          </a:ln>
                        </pic:spPr>
                      </pic:pic>
                    </a:graphicData>
                  </a:graphic>
                </wp:inline>
              </w:drawing>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Borders>
              <w:top w:val="inset" w:color="000000" w:sz="4" w:space="0"/>
              <w:right w:val="inset" w:color="000000" w:sz="4" w:space="0"/>
            </w:tcBorders>
            <w:noWrap w:val="0"/>
            <w:tcMar>
              <w:top w:w="20" w:type="dxa"/>
              <w:left w:w="22"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1</w:t>
            </w:r>
            <w:r>
              <w:rPr>
                <w:rFonts w:ascii="宋体" w:hAnsi="宋体" w:eastAsia="宋体" w:cs="宋体"/>
                <w:b w:val="0"/>
                <w:bCs w:val="0"/>
                <w:i w:val="0"/>
                <w:iCs w:val="0"/>
                <w:smallCaps w:val="0"/>
                <w:color w:val="000000"/>
                <w:kern w:val="0"/>
                <w:szCs w:val="21"/>
              </w:rPr>
              <w:t>：东汉画像砖《弋射收获》出土于四川大邑安仁乡，描绘的是秋收季节的田野。上半部是渔猎，下半部是收获。上面的猎人正搭弓引箭，即将射向塘中飞鸟。而下面收割稻谷的农人，三三两两，错落有致，洋溢着劳动的热情。</w:t>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2</w:t>
            </w:r>
            <w:r>
              <w:rPr>
                <w:rFonts w:ascii="宋体" w:hAnsi="宋体" w:eastAsia="宋体" w:cs="宋体"/>
                <w:b w:val="0"/>
                <w:bCs w:val="0"/>
                <w:i w:val="0"/>
                <w:iCs w:val="0"/>
                <w:smallCaps w:val="0"/>
                <w:color w:val="000000"/>
                <w:kern w:val="0"/>
                <w:szCs w:val="21"/>
              </w:rPr>
              <w:t>：东汉画像砖《汉代讲经图》出土于四川成都，反映了汉代席地而坐讲经上课的情形。画面左侧，老师安坐于榻。榻下，六名生徒面对老师，他们手捧经书简册，表现出对老师恭恭敬敬、虚心求学的姿态。</w:t>
            </w:r>
          </w:p>
        </w:tc>
        <w:tc>
          <w:tcPr>
            <w:tcBorders>
              <w:top w:val="inset" w:color="000000" w:sz="4" w:space="0"/>
              <w:left w:val="inset" w:color="000000" w:sz="4" w:space="0"/>
            </w:tcBorders>
            <w:noWrap w:val="0"/>
            <w:tcMar>
              <w:top w:w="20" w:type="dxa"/>
              <w:left w:w="20" w:type="dxa"/>
              <w:bottom w:w="22" w:type="dxa"/>
              <w:right w:w="22"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3</w:t>
            </w:r>
            <w:r>
              <w:rPr>
                <w:rFonts w:ascii="宋体" w:hAnsi="宋体" w:eastAsia="宋体" w:cs="宋体"/>
                <w:b w:val="0"/>
                <w:bCs w:val="0"/>
                <w:i w:val="0"/>
                <w:iCs w:val="0"/>
                <w:smallCaps w:val="0"/>
                <w:color w:val="000000"/>
                <w:kern w:val="0"/>
                <w:szCs w:val="21"/>
              </w:rPr>
              <w:t>：东汉画像砖《骆驼载乐》出土于四川成都。一头双峰骆驼（西域典型运输工具）昂首前行，驼背上架着一面“建鼓”（汉代乐器），驼峰旁坐着一位高鼻深目的胡人，正挥袖击鼓，姿态娴熟。</w:t>
            </w:r>
          </w:p>
        </w:tc>
      </w:tr>
      <w:bookmarkEnd w:id="21"/>
    </w:tbl>
    <w:p>
      <w:pPr>
        <w:spacing w:line="360" w:lineRule="auto"/>
        <w:textAlignment w:val="center"/>
        <w:rPr>
          <w:rFonts w:ascii="Times New Roman" w:hAnsi="Times New Roman" w:eastAsia="Times New Roman" w:cs="Times New Roman"/>
          <w:kern w:val="0"/>
          <w:sz w:val="24"/>
          <w:szCs w:val="24"/>
        </w:rPr>
      </w:pP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(1) </w:t>
      </w:r>
      <w:r>
        <w:rPr>
          <w:rFonts w:ascii="宋体" w:hAnsi="宋体" w:eastAsia="宋体" w:cs="宋体"/>
          <w:kern w:val="0"/>
          <w:szCs w:val="21"/>
        </w:rPr>
        <w:t>根据材料，列举图</w:t>
      </w:r>
      <w:r>
        <w:rPr>
          <w:rFonts w:hAnsi="Times New Roman" w:eastAsia="Times New Roman"/>
          <w:kern w:val="0"/>
          <w:szCs w:val="21"/>
        </w:rPr>
        <w:t>1</w:t>
      </w:r>
      <w:r>
        <w:rPr>
          <w:rFonts w:ascii="宋体" w:hAnsi="宋体" w:eastAsia="宋体" w:cs="宋体"/>
          <w:kern w:val="0"/>
          <w:szCs w:val="21"/>
        </w:rPr>
        <w:t>画像砖中描绘的生产活动</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(2) </w:t>
      </w:r>
      <w:r>
        <w:rPr>
          <w:rFonts w:ascii="宋体" w:hAnsi="宋体" w:eastAsia="宋体" w:cs="宋体"/>
          <w:kern w:val="0"/>
          <w:szCs w:val="21"/>
        </w:rPr>
        <w:t>根据材料并结合所学内容，写出图</w:t>
      </w:r>
      <w:r>
        <w:rPr>
          <w:rFonts w:hAnsi="Times New Roman" w:eastAsia="Times New Roman"/>
          <w:kern w:val="0"/>
          <w:szCs w:val="21"/>
        </w:rPr>
        <w:t>2</w:t>
      </w:r>
      <w:r>
        <w:rPr>
          <w:rFonts w:ascii="宋体" w:hAnsi="宋体" w:eastAsia="宋体" w:cs="宋体"/>
          <w:kern w:val="0"/>
          <w:szCs w:val="21"/>
        </w:rPr>
        <w:t>画像砖《汉代讲经图》中“经”代表的思想学派，这里的“经”主要包含哪些经典著作？</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(3) </w:t>
      </w:r>
      <w:r>
        <w:rPr>
          <w:rFonts w:ascii="宋体" w:hAnsi="宋体" w:eastAsia="宋体" w:cs="宋体"/>
          <w:kern w:val="0"/>
          <w:szCs w:val="21"/>
        </w:rPr>
        <w:t>图</w:t>
      </w:r>
      <w:r>
        <w:rPr>
          <w:rFonts w:hAnsi="Times New Roman" w:eastAsia="Times New Roman"/>
          <w:kern w:val="0"/>
          <w:szCs w:val="21"/>
        </w:rPr>
        <w:t>3</w:t>
      </w:r>
      <w:r>
        <w:rPr>
          <w:rFonts w:ascii="宋体" w:hAnsi="宋体" w:eastAsia="宋体" w:cs="宋体"/>
          <w:kern w:val="0"/>
          <w:szCs w:val="21"/>
        </w:rPr>
        <w:t>画像砖里的“双峰骆驼”和“胡人”体现了哪个地区的特色？这反映了东汉时期怎样的社会交流特点？</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(4) </w:t>
      </w:r>
      <w:r>
        <w:rPr>
          <w:rFonts w:ascii="宋体" w:hAnsi="宋体" w:eastAsia="宋体" w:cs="宋体"/>
          <w:kern w:val="0"/>
          <w:szCs w:val="21"/>
        </w:rPr>
        <w:t>结合所学内容，指出以上画像砖所属的史料类型。若要更全面地了解东汉社会，还可以查阅哪些类型的史料？</w:t>
      </w:r>
    </w:p>
    <w:p>
      <w:pPr>
        <w:numPr>
          <w:ilvl w:val="0"/>
          <w:numId w:val="0"/>
        </w:numPr>
        <w:shd w:val="clear" w:color="auto" w:fill="auto"/>
        <w:spacing w:before="0" w:after="0"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23</w:t>
      </w:r>
      <w:r>
        <w:rPr>
          <w:rFonts w:ascii="宋体" w:hAnsi="宋体" w:eastAsia="宋体" w:cs="宋体"/>
          <w:kern w:val="0"/>
          <w:szCs w:val="21"/>
        </w:rPr>
        <w:t>.</w:t>
      </w:r>
      <w:bookmarkStart w:id="22" w:name="edc0154a-9389-44ba-b125-2c9a3752f131"/>
      <w:r>
        <w:rPr>
          <w:rFonts w:ascii="宋体" w:hAnsi="宋体" w:eastAsia="宋体" w:cs="宋体"/>
          <w:kern w:val="0"/>
          <w:szCs w:val="21"/>
        </w:rPr>
        <w:t>丝绸之路在地理上只是跨越亚欧大陆的一条通道，它对世界文化的意义却远不只如此。阅读材料，完成下列要求。</w:t>
      </w:r>
      <w:r>
        <w:rPr>
          <w:rFonts w:ascii="宋体" w:hAnsi="宋体" w:eastAsia="宋体" w:cs="宋体"/>
          <w:kern w:val="0"/>
          <w:szCs w:val="21"/>
        </w:rPr>
        <w:br w:type="textWrapping"/>
      </w:r>
      <w:r>
        <w:rPr>
          <w:rFonts w:ascii="宋体" w:hAnsi="宋体" w:eastAsia="宋体" w:cs="宋体"/>
          <w:kern w:val="0"/>
          <w:szCs w:val="21"/>
        </w:rPr>
        <w:t>材料一：张骞的出使开辟了通往中亚的新途径。黄金和丝织品为主要商品从中国输出，而酒、香料、马、羊毛织品从西方各国输入。沿着中亚的贸易路线引进的新的植物包括葡萄、石榴、芝麻、蚕豆、苜蓿等……商业在中国人的庇护之下兴盛起来，而且丝绸之路也是佛教借以传播之路。</w:t>
      </w:r>
    </w:p>
    <w:p>
      <w:pPr>
        <w:spacing w:before="0" w:after="0" w:line="360" w:lineRule="auto"/>
        <w:jc w:val="right"/>
        <w:textAlignment w:val="center"/>
        <w:rPr>
          <w:rFonts w:ascii="Times New Roman" w:hAnsi="Times New Roman" w:eastAsia="Times New Roman" w:cs="Times New Roman"/>
          <w:kern w:val="0"/>
          <w:sz w:val="24"/>
          <w:szCs w:val="24"/>
        </w:rPr>
      </w:pPr>
      <w:r>
        <w:rPr>
          <w:rFonts w:ascii="宋体" w:hAnsi="宋体" w:eastAsia="宋体" w:cs="宋体"/>
          <w:kern w:val="0"/>
          <w:szCs w:val="21"/>
        </w:rPr>
        <w:t>——摘编自费正清《剑桥中国史》</w:t>
      </w:r>
    </w:p>
    <w:p>
      <w:pPr>
        <w:spacing w:line="360" w:lineRule="auto"/>
        <w:textAlignment w:val="center"/>
        <w:rPr>
          <w:rFonts w:ascii="宋体" w:hAnsi="宋体" w:eastAsia="宋体" w:cs="宋体"/>
          <w:kern w:val="0"/>
          <w:szCs w:val="21"/>
        </w:rPr>
      </w:pPr>
      <w:r>
        <w:rPr>
          <w:rFonts w:ascii="宋体" w:hAnsi="宋体" w:eastAsia="宋体" w:cs="宋体"/>
          <w:kern w:val="0"/>
          <w:szCs w:val="21"/>
        </w:rPr>
        <w:t>材料二：</w:t>
      </w:r>
      <w:r>
        <w:rPr>
          <w:rFonts w:hAnsi="Times New Roman" w:eastAsia="Times New Roman"/>
          <w:kern w:val="0"/>
          <w:szCs w:val="21"/>
        </w:rPr>
        <w:t>2025</w:t>
      </w:r>
      <w:r>
        <w:rPr>
          <w:rFonts w:ascii="宋体" w:hAnsi="宋体" w:eastAsia="宋体" w:cs="宋体"/>
          <w:kern w:val="0"/>
          <w:szCs w:val="21"/>
        </w:rPr>
        <w:t>年</w:t>
      </w:r>
      <w:r>
        <w:rPr>
          <w:rFonts w:hAnsi="Times New Roman" w:eastAsia="Times New Roman"/>
          <w:kern w:val="0"/>
          <w:szCs w:val="21"/>
        </w:rPr>
        <w:t>12</w:t>
      </w:r>
      <w:r>
        <w:rPr>
          <w:rFonts w:ascii="宋体" w:hAnsi="宋体" w:eastAsia="宋体" w:cs="宋体"/>
          <w:kern w:val="0"/>
          <w:szCs w:val="21"/>
        </w:rPr>
        <w:t>月</w:t>
      </w:r>
      <w:r>
        <w:rPr>
          <w:rFonts w:hAnsi="Times New Roman" w:eastAsia="Times New Roman"/>
          <w:kern w:val="0"/>
          <w:szCs w:val="21"/>
        </w:rPr>
        <w:t>18</w:t>
      </w:r>
      <w:r>
        <w:rPr>
          <w:rFonts w:ascii="宋体" w:hAnsi="宋体" w:eastAsia="宋体" w:cs="宋体"/>
          <w:kern w:val="0"/>
          <w:szCs w:val="21"/>
        </w:rPr>
        <w:t>日，海南自贸港实现“封关运作”，这意味着海南将成为全球开放水平最高的特殊经济区之一。封关后，海南将实施“零关税”等优惠政策，大力发展旅游业、现代服务业、高新技术产业，同时加强与“一带一路”沿线国家的合作，成为中国与东盟等地区深化交流的重要门户。</w:t>
      </w:r>
      <w:r>
        <w:rPr>
          <w:rFonts w:ascii="宋体" w:hAnsi="宋体" w:eastAsia="宋体" w:cs="宋体"/>
          <w:kern w:val="0"/>
          <w:szCs w:val="21"/>
        </w:rPr>
        <w:br w:type="textWrapping"/>
      </w:r>
      <w:r>
        <w:rPr>
          <w:rFonts w:ascii="宋体" w:hAnsi="宋体" w:eastAsia="宋体" w:cs="宋体"/>
          <w:kern w:val="0"/>
          <w:szCs w:val="21"/>
        </w:rPr>
        <w:t>——摘编自央视新闻网</w:t>
      </w:r>
      <w:bookmarkEnd w:id="22"/>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(1) </w:t>
      </w:r>
      <w:r>
        <w:rPr>
          <w:rFonts w:ascii="宋体" w:hAnsi="宋体" w:eastAsia="宋体" w:cs="宋体"/>
          <w:kern w:val="0"/>
          <w:szCs w:val="21"/>
        </w:rPr>
        <w:t>根据材料一，概括古丝绸之路的历史作用</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(2) </w:t>
      </w:r>
      <w:r>
        <w:rPr>
          <w:rFonts w:ascii="宋体" w:hAnsi="宋体" w:eastAsia="宋体" w:cs="宋体"/>
          <w:kern w:val="0"/>
          <w:szCs w:val="21"/>
        </w:rPr>
        <w:t>根据材料二并结合所学内容，简析自贸港封关运作将如何推动海南的发展</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(3) </w:t>
      </w:r>
      <w:r>
        <w:rPr>
          <w:rFonts w:ascii="宋体" w:hAnsi="宋体" w:eastAsia="宋体" w:cs="宋体"/>
          <w:kern w:val="0"/>
          <w:szCs w:val="21"/>
        </w:rPr>
        <w:t>从古丝绸之路到“一带一路”，再到海南自贸港，体现了怎样的时代精神？作为新时代的海南中学生，你能为家乡的发展做些什么？</w:t>
      </w:r>
      <w:r>
        <w:rPr>
          <w:rFonts w:ascii="宋体" w:hAnsi="宋体" w:eastAsia="宋体" w:cs="宋体"/>
          <w:kern w:val="0"/>
          <w:szCs w:val="21"/>
        </w:rPr>
        <w:br w:type="page"/>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3.</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4.</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5.</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6.</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7.</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8.</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9.</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10.</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11.</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12.</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13.</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14.</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15.</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16.</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17.</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18.</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19.</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20.</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21.</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】特点：中国古代粮食作物地域分布特点为北方种植粟，南方种植水稻；主要原因：由于地理位置和气候差异导致的</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】表现：①科学地利用地势特点；②通过自动分流调节水量；影响：既解决了洪水泛滥的问题，也保障了农业灌溉，推动农业发展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】影响：北方人口南迁给江南地区输送了大量的劳动力和先进的生产工具和生产经验；推动江南地区经济的发展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4</w:t>
      </w:r>
      <w:r>
        <w:rPr>
          <w:rFonts w:ascii="宋体" w:hAnsi="宋体" w:eastAsia="宋体" w:cs="宋体"/>
          <w:kern w:val="0"/>
          <w:szCs w:val="21"/>
        </w:rPr>
        <w:t>】共同因素：自然条件的优越；社会稳定；水利工程的修建；充足的劳动力；生产工具</w:t>
      </w:r>
      <w:r>
        <w:rPr>
          <w:rFonts w:hAnsi="Times New Roman" w:eastAsia="Times New Roman"/>
          <w:kern w:val="0"/>
          <w:szCs w:val="21"/>
        </w:rPr>
        <w:t>/</w:t>
      </w:r>
      <w:r>
        <w:rPr>
          <w:rFonts w:ascii="宋体" w:hAnsi="宋体" w:eastAsia="宋体" w:cs="宋体"/>
          <w:kern w:val="0"/>
          <w:szCs w:val="21"/>
        </w:rPr>
        <w:t>技术的进步等</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22.</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】生产活动：渔猎、农耕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】学派：儒家；著作：《诗》《书》《礼》《易》《春秋》</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】地区：西域；交流特点：中原与西域少数民族间交流往来活跃</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4</w:t>
      </w:r>
      <w:r>
        <w:rPr>
          <w:rFonts w:ascii="宋体" w:hAnsi="宋体" w:eastAsia="宋体" w:cs="宋体"/>
          <w:kern w:val="0"/>
          <w:szCs w:val="21"/>
        </w:rPr>
        <w:t>】史料类型：都属于实物史料（一手史料）；可补充：文献史料等</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23.</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】作用：是古代东西方往来的大动脉；促进东西方之间的商品贸易往来；推动佛教等文化领域的交流传播</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①利用“零关税”等优惠政策，吸引外国企业和资本入驻海南；②依托旅游业、现代服务业等产业，加强与世界各国的经贸往来和文化交流；③以海南为门户，推动中国与东盟等地区的商品、人员、技术等要素流动；④拓展海南的国际市场，提升海南国际影响力</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时代精神：开放包容、合作共赢、创新发展、胸怀天下等精神；做法：①努力学习科学文化知识，提升自身素质；②了解“一带一路”和海南自贸港的相关知识，向家人和朋友宣传；③培养开放意识和国际视野，尊重不同国家的文化和习俗；④积极参与社会实践活动，为家乡的发展建言献策</w:t>
      </w:r>
    </w:p>
    <w:p>
      <w:pPr>
        <w:numPr>
          <w:ilvl w:val="0"/>
          <w:numId w:val="0"/>
        </w:numPr>
        <w:spacing w:before="0" w:after="0" w:line="360" w:lineRule="auto"/>
        <w:ind w:left="0"/>
        <w:jc w:val="left"/>
        <w:textAlignment w:val="center"/>
        <w:rPr>
          <w:rFonts w:ascii="宋体" w:hAnsi="宋体" w:eastAsia="宋体" w:cs="宋体"/>
          <w:kern w:val="0"/>
          <w:szCs w:val="21"/>
        </w:rPr>
      </w:pPr>
    </w:p>
    <w:sectPr>
      <w:headerReference r:id="rId3" w:type="default"/>
      <w:footerReference r:id="rId4" w:type="default"/>
      <w:pgSz w:w="11906" w:h="16838"/>
      <w:pgMar w:top="1440" w:right="1083" w:bottom="1440" w:left="1083" w:header="499" w:footer="499"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839"/>
  <w:drawingGridHorizontalSpacing w:val="105"/>
  <w:drawingGridVerticalSpacing w:val="156"/>
  <w:displayHorizontalDrawingGridEvery w:val="0"/>
  <w:displayVerticalDrawingGridEvery w:val="2"/>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1ZWE1MmUzZjk0ZDc0YjQ1N2M1MGI0Y2YxY2Q5ZjMifQ=="/>
    <w:docVar w:name="ksoschemedata" w:val="cc4fdfaa-cf7b-432b-9ced-0ccfdd047ed1"/>
  </w:docVars>
  <w:rsids>
    <w:rsidRoot w:val="009D662E"/>
    <w:rsid w:val="00151D4A"/>
    <w:rsid w:val="0094729D"/>
    <w:rsid w:val="009D662E"/>
    <w:rsid w:val="00AC1539"/>
    <w:rsid w:val="00B53878"/>
    <w:rsid w:val="00BC4DC9"/>
    <w:rsid w:val="00C70944"/>
    <w:rsid w:val="00C841D7"/>
    <w:rsid w:val="00DE1F19"/>
    <w:rsid w:val="041E512C"/>
    <w:rsid w:val="56850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宋体" w:eastAsia="宋体" w:cs="Times New Roman"/>
      <w:kern w:val="2"/>
      <w:sz w:val="21"/>
      <w:szCs w:val="22"/>
      <w:lang w:val="en-US" w:eastAsia="zh-CN" w:bidi="ar-SA"/>
    </w:rPr>
  </w:style>
  <w:style w:type="character" w:default="1" w:styleId="7">
    <w:name w:val="Default Paragraph Font"/>
    <w:semiHidden/>
    <w:unhideWhenUsed/>
    <w:qFormat/>
    <w:uiPriority w:val="1"/>
    <w:rPr>
      <w:rFonts w:ascii="Times New Roman" w:hAnsi="宋体" w:eastAsia="宋体" w:cs="Times New Roman"/>
    </w:rPr>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rFonts w:ascii="Times New Roman" w:hAnsi="宋体" w:eastAsia="宋体" w:cs="Times New Roman"/>
      <w:sz w:val="18"/>
      <w:szCs w:val="18"/>
    </w:rPr>
  </w:style>
  <w:style w:type="paragraph" w:styleId="3">
    <w:name w:val="footer"/>
    <w:basedOn w:val="1"/>
    <w:link w:val="9"/>
    <w:unhideWhenUsed/>
    <w:qFormat/>
    <w:uiPriority w:val="99"/>
    <w:pPr>
      <w:tabs>
        <w:tab w:val="center" w:pos="4153"/>
        <w:tab w:val="right" w:pos="8306"/>
      </w:tabs>
      <w:snapToGrid w:val="0"/>
    </w:pPr>
    <w:rPr>
      <w:rFonts w:ascii="Times New Roman" w:hAnsi="宋体" w:eastAsia="宋体" w:cs="Times New Roman"/>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Times New Roman" w:hAnsi="宋体" w:eastAsia="宋体" w:cs="Times New Roman"/>
      <w:sz w:val="18"/>
      <w:szCs w:val="18"/>
    </w:rPr>
  </w:style>
  <w:style w:type="table" w:styleId="6">
    <w:name w:val="Table Grid"/>
    <w:basedOn w:val="5"/>
    <w:qFormat/>
    <w:uiPriority w:val="59"/>
    <w:rPr>
      <w:rFonts w:ascii="Times New Roman" w:hAnsi="宋体"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Times New Roman" w:hAnsi="宋体" w:eastAsia="宋体" w:cs="Times New Roman"/>
      <w:sz w:val="18"/>
      <w:szCs w:val="18"/>
    </w:rPr>
  </w:style>
  <w:style w:type="character" w:customStyle="1" w:styleId="9">
    <w:name w:val="页脚 Char"/>
    <w:basedOn w:val="7"/>
    <w:link w:val="3"/>
    <w:qFormat/>
    <w:uiPriority w:val="99"/>
    <w:rPr>
      <w:rFonts w:ascii="Times New Roman" w:hAnsi="宋体" w:eastAsia="宋体" w:cs="Times New Roman"/>
      <w:sz w:val="18"/>
      <w:szCs w:val="18"/>
    </w:rPr>
  </w:style>
  <w:style w:type="character" w:customStyle="1" w:styleId="10">
    <w:name w:val="批注框文本 Char"/>
    <w:basedOn w:val="7"/>
    <w:link w:val="2"/>
    <w:semiHidden/>
    <w:qFormat/>
    <w:uiPriority w:val="99"/>
    <w:rPr>
      <w:rFonts w:ascii="Times New Roman" w:hAnsi="宋体" w:eastAsia="宋体" w:cs="Times New Roman"/>
      <w:sz w:val="18"/>
      <w:szCs w:val="18"/>
    </w:rPr>
  </w:style>
  <w:style w:type="paragraph" w:styleId="11">
    <w:name w:val="No Spacing"/>
    <w:link w:val="12"/>
    <w:qFormat/>
    <w:uiPriority w:val="1"/>
    <w:rPr>
      <w:rFonts w:ascii="Times New Roman" w:hAnsi="宋体" w:eastAsia="宋体" w:cs="Times New Roman"/>
      <w:sz w:val="22"/>
      <w:szCs w:val="22"/>
      <w:lang w:val="en-US" w:eastAsia="zh-CN" w:bidi="ar-SA"/>
    </w:rPr>
  </w:style>
  <w:style w:type="character" w:customStyle="1" w:styleId="12">
    <w:name w:val="无间隔 Char"/>
    <w:basedOn w:val="7"/>
    <w:link w:val="11"/>
    <w:qFormat/>
    <w:uiPriority w:val="1"/>
    <w:rPr>
      <w:rFonts w:ascii="Times New Roman" w:hAnsi="宋体" w:eastAsia="宋体" w:cs="Times New Roman"/>
      <w:kern w:val="0"/>
      <w:sz w:val="22"/>
    </w:rPr>
  </w:style>
  <w:style w:type="paragraph" w:styleId="13">
    <w:name w:val="List Paragraph"/>
    <w:basedOn w:val="1"/>
    <w:qFormat/>
    <w:uiPriority w:val="34"/>
    <w:pPr>
      <w:ind w:firstLine="420" w:firstLineChars="200"/>
    </w:pPr>
    <w:rPr>
      <w:rFonts w:ascii="Times New Roman" w:hAnsi="宋体" w:eastAsia="宋体" w:cs="Times New Roman"/>
    </w:rPr>
  </w:style>
  <w:style w:type="character" w:customStyle="1" w:styleId="14">
    <w:name w:val="不明显强调1"/>
    <w:basedOn w:val="7"/>
    <w:qFormat/>
    <w:uiPriority w:val="19"/>
    <w:rPr>
      <w:rFonts w:ascii="Times New Roman" w:hAnsi="宋体" w:eastAsia="宋体" w:cs="Times New Roman"/>
      <w:i/>
      <w:iCs/>
      <w:color w:val="808080" w:themeColor="text1" w:themeTint="80"/>
      <w14:textFill>
        <w14:solidFill>
          <w14:schemeClr w14:val="tx1">
            <w14:lumMod w14:val="50000"/>
            <w14:lumOff w14:val="50000"/>
          </w14:schemeClr>
        </w14:solidFill>
      </w14:textFill>
    </w:rPr>
  </w:style>
  <w:style w:type="table" w:customStyle="1" w:styleId="15">
    <w:name w:val="edittable2"/>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xtzj xmlns="http://schemas.microsoft.com/vsto/xtzj">
  <dataContent>c0b6a8f40-4cb7-48b7-908c-4f3acb0befa8;fc4803874-b47b-4e47-a3b1-7508f71f6c38,7da03fb81-0cd8-4777-b8ff-97821bb797df,310972e6b-dc3f-4c45-b831-bc1d3e1ba390,34b9da6d9-a0cd-4a34-b4d7-f81fe8c1602d,5c319f5be-ea2e-4a06-a10b-1be5d6e002a8,b0b039a54-770f-45b1-bd52-1129889fb7eb,f9f9952ec-be0a-4c38-996d-3e5b92dc0c59,3ec1dcfd5-6b5e-430e-821f-39af0e242d24,5bc365401-2e36-4760-b822-7cc6620e896b,628927b92-bd31-44d7-834c-5c6bc10acc60,edc60154a-9389-44ba-b125-2c9a3752f131,7e653b53d-251f-4466-b414-fe7b1fc7fd97,a0a7227c4-dc48-4e47-834c-8784591a7fd1,1b462806e-effb-41d3-abad-3c8a76845158,1be22d5ec-313a-4d50-b6e0-16b7b3f5b6d5,4d724c9d6-1cf4-4210-802b-dc09433582f8,e3f1ef03b-fae5-46f2-a4fb-5861b79bda9f,60a4c1524-d79d-4fa9-bed9-8c96579152b2,b024f0c41-2a60-423c-8e20-58477d85fbc5,eb52c3116-15de-4356-aa39-6fac905bcb46,a1456606b-0606-4ff8-9502-129c1c1318bc,b5b851d5e-e187-4587-8de4-445f44bbde4b,22992ab54-0275-4193-8780-74770b102b51,</dataContent>
</xtzj>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d94f3-3062-45aa-a435-199771e19cc8}">
  <ds:schemaRefs/>
</ds:datastoreItem>
</file>

<file path=customXml/itemProps3.xml><?xml version="1.0" encoding="utf-8"?>
<ds:datastoreItem xmlns:ds="http://schemas.openxmlformats.org/officeDocument/2006/customXml" ds:itemID="{9B3D83DB-AA60-4DB6-9D35-1FCDAE35A908}">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7</Pages>
  <Words>4139</Words>
  <Characters>4337</Characters>
  <DocSecurity>0</DocSecurity>
  <Lines>0</Lines>
  <Paragraphs>0</Paragraphs>
  <ScaleCrop>false</ScaleCrop>
  <LinksUpToDate>false</LinksUpToDate>
  <CharactersWithSpaces>4523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2026-01-19T14:41:27Z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