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D6B7">
      <w:pPr>
        <w:spacing w:line="360" w:lineRule="auto"/>
        <w:jc w:val="center"/>
        <w:rPr>
          <w:rFonts w:hint="eastAsia"/>
          <w:b/>
          <w:bCs/>
          <w:sz w:val="28"/>
          <w:szCs w:val="28"/>
          <w:lang w:val="en-US" w:eastAsia="zh-CN"/>
        </w:rPr>
      </w:pPr>
      <w:r>
        <w:rPr>
          <w:rFonts w:hint="eastAsia"/>
          <w:b/>
          <w:bCs/>
          <w:sz w:val="28"/>
          <w:szCs w:val="28"/>
          <w:lang w:val="en-US" w:eastAsia="zh-CN"/>
        </w:rPr>
        <w:t>制作高阶思维能力评价量表  促进历史教学高质量发展</w:t>
      </w:r>
    </w:p>
    <w:p w14:paraId="5205516C">
      <w:pPr>
        <w:spacing w:line="360" w:lineRule="auto"/>
        <w:jc w:val="center"/>
        <w:rPr>
          <w:rFonts w:hint="eastAsia"/>
          <w:sz w:val="24"/>
          <w:szCs w:val="24"/>
          <w:lang w:val="en-US" w:eastAsia="zh-CN"/>
        </w:rPr>
      </w:pPr>
      <w:r>
        <w:rPr>
          <w:rFonts w:hint="eastAsia"/>
          <w:sz w:val="24"/>
          <w:szCs w:val="24"/>
          <w:lang w:val="en-US" w:eastAsia="zh-CN"/>
        </w:rPr>
        <w:t xml:space="preserve">浙江省平湖市当湖高级中学   卢晓华  </w:t>
      </w:r>
    </w:p>
    <w:p w14:paraId="708CE88C">
      <w:pPr>
        <w:spacing w:line="360" w:lineRule="auto"/>
        <w:jc w:val="center"/>
        <w:rPr>
          <w:rFonts w:hint="default"/>
          <w:b/>
          <w:bCs/>
          <w:color w:val="0000FF"/>
          <w:sz w:val="24"/>
          <w:szCs w:val="24"/>
          <w:lang w:val="en-US" w:eastAsia="zh-CN"/>
        </w:rPr>
      </w:pPr>
      <w:r>
        <w:rPr>
          <w:rFonts w:hint="eastAsia"/>
          <w:b/>
          <w:bCs/>
          <w:color w:val="0000FF"/>
          <w:sz w:val="24"/>
          <w:szCs w:val="24"/>
          <w:lang w:val="en-US" w:eastAsia="zh-CN"/>
        </w:rPr>
        <w:t>《中学历史教学》202</w:t>
      </w:r>
      <w:bookmarkStart w:id="0" w:name="_GoBack"/>
      <w:bookmarkEnd w:id="0"/>
      <w:r>
        <w:rPr>
          <w:rFonts w:hint="eastAsia"/>
          <w:b/>
          <w:bCs/>
          <w:color w:val="0000FF"/>
          <w:sz w:val="24"/>
          <w:szCs w:val="24"/>
          <w:lang w:val="en-US" w:eastAsia="zh-CN"/>
        </w:rPr>
        <w:t>4第7期发表</w:t>
      </w:r>
    </w:p>
    <w:p w14:paraId="4386F39D">
      <w:pPr>
        <w:spacing w:line="360" w:lineRule="auto"/>
        <w:rPr>
          <w:rFonts w:hint="default"/>
          <w:sz w:val="24"/>
          <w:szCs w:val="24"/>
          <w:lang w:val="en-US" w:eastAsia="zh-CN"/>
        </w:rPr>
      </w:pPr>
    </w:p>
    <w:p w14:paraId="7706263A">
      <w:pPr>
        <w:spacing w:line="360" w:lineRule="auto"/>
        <w:ind w:firstLine="480"/>
        <w:rPr>
          <w:rFonts w:hint="eastAsia"/>
          <w:sz w:val="24"/>
          <w:szCs w:val="24"/>
          <w:lang w:val="en-US" w:eastAsia="zh-CN"/>
        </w:rPr>
      </w:pPr>
      <w:r>
        <w:rPr>
          <w:rFonts w:hint="eastAsia"/>
          <w:sz w:val="24"/>
          <w:szCs w:val="24"/>
          <w:lang w:val="en-US" w:eastAsia="zh-CN"/>
        </w:rPr>
        <w:t>21世纪以来，国际上出现一场全球性的21世纪能力运动，其本质是一种以人的高阶能力发展为导向的教育改革运动。各国及国际组织在自己的文件中指称21世纪能力所用的概念有差异（例如，OECD和欧盟称为“关键能力”，美国称为“21世纪技能”、日本和新加坡称为“21世纪能力”，中国称为“核心素养”），但共同特征在于强调批判性思维和问题解决、交流、合作、创造技能、信息通信技术技能、人际交往、适应能力等。</w:t>
      </w:r>
      <w:r>
        <w:rPr>
          <w:rFonts w:hint="eastAsia"/>
          <w:sz w:val="24"/>
          <w:szCs w:val="24"/>
          <w:vertAlign w:val="superscript"/>
          <w:lang w:val="en-US" w:eastAsia="zh-CN"/>
        </w:rPr>
        <w:t>[1]</w:t>
      </w:r>
      <w:r>
        <w:rPr>
          <w:rFonts w:hint="eastAsia"/>
          <w:sz w:val="24"/>
          <w:szCs w:val="24"/>
          <w:lang w:val="en-US" w:eastAsia="zh-CN"/>
        </w:rPr>
        <w:t>那么如何采取策略培养学生掌握以批判、反思和创造为特征的高阶思维技能？评价量表是一种能够提供有效反馈、促进学生学习的快捷教学评价工具。它能引发有效的课堂讨论，并促进学生自我激励及独立学习，避免学生曲解教学任务，使其真正理解学习目标和评价标准。本文以人教版纲要下第23课《和平发展合作共赢的时代潮流》（以下简称《潮流》）为例，尝试在经典版布卢姆认知目标分类学基础上进一步制作高阶思维能力量表以驱动学生的高质量学习。</w:t>
      </w:r>
    </w:p>
    <w:p w14:paraId="7D2EF388">
      <w:pPr>
        <w:numPr>
          <w:ilvl w:val="0"/>
          <w:numId w:val="1"/>
        </w:numPr>
        <w:spacing w:line="360" w:lineRule="auto"/>
        <w:ind w:firstLine="480"/>
        <w:jc w:val="center"/>
        <w:rPr>
          <w:rFonts w:hint="eastAsia"/>
          <w:b/>
          <w:bCs/>
          <w:sz w:val="24"/>
          <w:szCs w:val="24"/>
          <w:lang w:val="en-US" w:eastAsia="zh-CN"/>
        </w:rPr>
      </w:pPr>
      <w:r>
        <w:rPr>
          <w:rFonts w:hint="eastAsia"/>
          <w:b/>
          <w:bCs/>
          <w:sz w:val="24"/>
          <w:szCs w:val="24"/>
          <w:lang w:val="en-US" w:eastAsia="zh-CN"/>
        </w:rPr>
        <w:t>立足高阶思维能力培养的教学目标分析</w:t>
      </w:r>
    </w:p>
    <w:p w14:paraId="7A9DE897">
      <w:pPr>
        <w:numPr>
          <w:ilvl w:val="0"/>
          <w:numId w:val="0"/>
        </w:numPr>
        <w:spacing w:line="360" w:lineRule="auto"/>
        <w:ind w:firstLine="480"/>
        <w:rPr>
          <w:rFonts w:hint="eastAsia"/>
          <w:sz w:val="24"/>
          <w:szCs w:val="24"/>
          <w:lang w:val="en-US" w:eastAsia="zh-CN"/>
        </w:rPr>
      </w:pPr>
      <w:r>
        <w:rPr>
          <w:rFonts w:hint="eastAsia"/>
          <w:sz w:val="24"/>
          <w:szCs w:val="24"/>
          <w:lang w:val="en-US" w:eastAsia="zh-CN"/>
        </w:rPr>
        <w:t>《潮流》这课包括三个子目：第一子目是“和平与发展的时代主题”，第二子目是“人类发展面临的问题”，第三子目是“在合作共赢中促进全球共同发展”。这三个子目间的逻辑关系是：时代特点鲜明，但问题与挑战严峻，需要人类在合作共赢中解决。中国提出构建人类命运共同体的倡议并身体力行，表明对中国特色社会主义发展道路的自信，以及将中国的发展普惠世界的胸怀。本课教学的重点是认清人类社会发展的方向与面临的困境，难点是解决之道。课标要求学生牢固树立构建人类命运共同体意识，共同担当，同舟共济，共促全球的和平与发展。作为《中外历史纲要（下）》教材的最后一课，《潮流》包含了太多需要整合的内容。该课时空范围涉及过去、当下、未来及全球，比较贴近学生生活，学生可以交流的话题很多（例如，当前全球治理机制已滞后于经济全球化，各国能否超越狭隘的国族本位思维，深刻体认人类命运福祸相依的全球意识？是否知晓从何处着力共同行动？）。那么，如何处理大量的教学目标和解决疑难的教学问题？教师需要一个有组织的框架来提高准确性和促进理解。这个框架要能帮助教师完整了解学生认知的一般过程和各阶段的要求。这方面经典版布卢姆认知目标分类学可资利用。就本课而言设计如下：</w:t>
      </w:r>
    </w:p>
    <w:p w14:paraId="1964285D">
      <w:pPr>
        <w:numPr>
          <w:ilvl w:val="0"/>
          <w:numId w:val="0"/>
        </w:numPr>
        <w:spacing w:line="360" w:lineRule="auto"/>
        <w:ind w:firstLine="480"/>
        <w:jc w:val="center"/>
        <w:rPr>
          <w:rFonts w:hint="eastAsia"/>
          <w:b/>
          <w:bCs/>
          <w:sz w:val="24"/>
          <w:szCs w:val="24"/>
          <w:lang w:val="en-US" w:eastAsia="zh-CN"/>
        </w:rPr>
      </w:pPr>
      <w:r>
        <w:rPr>
          <w:rFonts w:hint="eastAsia"/>
          <w:b/>
          <w:bCs/>
          <w:sz w:val="24"/>
          <w:szCs w:val="24"/>
          <w:lang w:val="en-US" w:eastAsia="zh-CN"/>
        </w:rPr>
        <w:t>表1 认知过程维度的分类和要求</w:t>
      </w:r>
      <w:r>
        <w:rPr>
          <w:rFonts w:hint="eastAsia"/>
          <w:b w:val="0"/>
          <w:bCs w:val="0"/>
          <w:sz w:val="24"/>
          <w:szCs w:val="24"/>
          <w:vertAlign w:val="superscript"/>
          <w:lang w:val="en-US" w:eastAsia="zh-CN"/>
        </w:rPr>
        <w:t>[2]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0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F0BF91">
            <w:pPr>
              <w:numPr>
                <w:ilvl w:val="0"/>
                <w:numId w:val="0"/>
              </w:numPr>
              <w:spacing w:line="360" w:lineRule="auto"/>
              <w:ind w:firstLine="482" w:firstLineChars="200"/>
              <w:rPr>
                <w:rFonts w:hint="default"/>
                <w:sz w:val="24"/>
                <w:szCs w:val="24"/>
                <w:vertAlign w:val="baseline"/>
                <w:lang w:val="en-US" w:eastAsia="zh-CN"/>
              </w:rPr>
            </w:pPr>
            <w:r>
              <w:rPr>
                <w:rFonts w:hint="eastAsia"/>
                <w:b/>
                <w:bCs/>
                <w:sz w:val="24"/>
                <w:szCs w:val="24"/>
                <w:vertAlign w:val="baseline"/>
                <w:lang w:val="en-US" w:eastAsia="zh-CN"/>
              </w:rPr>
              <w:t>过程类目                             认知过程及例子</w:t>
            </w:r>
          </w:p>
        </w:tc>
      </w:tr>
      <w:tr w14:paraId="021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439314">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1.记忆</w:t>
            </w:r>
            <w:r>
              <w:rPr>
                <w:rFonts w:hint="eastAsia"/>
                <w:sz w:val="24"/>
                <w:szCs w:val="24"/>
                <w:vertAlign w:val="baseline"/>
                <w:lang w:val="en-US" w:eastAsia="zh-CN"/>
              </w:rPr>
              <w:t>——从长时记忆系统中提取有关信息（如，再认上海合作组织成立的时间）</w:t>
            </w:r>
          </w:p>
        </w:tc>
      </w:tr>
      <w:tr w14:paraId="4554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CD3C6C">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2.理解</w:t>
            </w:r>
            <w:r>
              <w:rPr>
                <w:rFonts w:hint="eastAsia"/>
                <w:sz w:val="24"/>
                <w:szCs w:val="24"/>
                <w:vertAlign w:val="baseline"/>
                <w:lang w:val="en-US" w:eastAsia="zh-CN"/>
              </w:rPr>
              <w:t>——从口头、书面和图画传播的教学信息中建构意义</w:t>
            </w:r>
          </w:p>
        </w:tc>
      </w:tr>
      <w:tr w14:paraId="316A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tcPr>
          <w:p w14:paraId="218F47B6">
            <w:pPr>
              <w:numPr>
                <w:ilvl w:val="0"/>
                <w:numId w:val="0"/>
              </w:numPr>
              <w:spacing w:line="360" w:lineRule="auto"/>
              <w:ind w:firstLine="240" w:firstLineChars="100"/>
              <w:rPr>
                <w:rFonts w:hint="eastAsia"/>
                <w:sz w:val="24"/>
                <w:szCs w:val="24"/>
                <w:vertAlign w:val="baseline"/>
                <w:lang w:val="en-US" w:eastAsia="zh-CN"/>
              </w:rPr>
            </w:pPr>
            <w:r>
              <w:rPr>
                <w:rFonts w:hint="eastAsia"/>
                <w:sz w:val="24"/>
                <w:szCs w:val="24"/>
                <w:vertAlign w:val="baseline"/>
                <w:lang w:val="en-US" w:eastAsia="zh-CN"/>
              </w:rPr>
              <w:t>2.1解释   （如，解释2012年里约热内卢可持续发展会议徽标的含义）</w:t>
            </w:r>
          </w:p>
          <w:p w14:paraId="0C1439C9">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2.2举例   （如，举出二战结束后发生的威胁世界和平的例子）</w:t>
            </w:r>
          </w:p>
          <w:p w14:paraId="32B4007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2.3分类   （如，将21世纪人类发展面临的问题加以分类）</w:t>
            </w:r>
          </w:p>
          <w:p w14:paraId="247F2DED">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2.4概要   （如，概述构建人类命运共同体的内涵）</w:t>
            </w:r>
          </w:p>
          <w:p w14:paraId="6BA6A3D0">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2.5推论   （如，从英国脱欧公投中推出什么结论？）</w:t>
            </w:r>
          </w:p>
          <w:p w14:paraId="0CD69F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2.6比较   （如，比较20世纪90年代前后经济全球化的异同）</w:t>
            </w:r>
          </w:p>
          <w:p w14:paraId="49B4923F">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2.7说明   （如，为什么中国要对全球治理提出自己的方案）</w:t>
            </w:r>
          </w:p>
        </w:tc>
      </w:tr>
      <w:tr w14:paraId="26AC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E04DA3">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3.运用</w:t>
            </w:r>
            <w:r>
              <w:rPr>
                <w:rFonts w:hint="eastAsia"/>
                <w:sz w:val="24"/>
                <w:szCs w:val="24"/>
                <w:vertAlign w:val="baseline"/>
                <w:lang w:val="en-US" w:eastAsia="zh-CN"/>
              </w:rPr>
              <w:t>——在给定的情境中执行或使用某程序</w:t>
            </w:r>
          </w:p>
        </w:tc>
      </w:tr>
      <w:tr w14:paraId="3801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B002E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3.1执行   （如，搜集一带一路的资料用于宣传）</w:t>
            </w:r>
          </w:p>
          <w:p w14:paraId="0A7A281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3.2实施   （如，如何运用合作共赢原则处理中美关系）</w:t>
            </w:r>
          </w:p>
        </w:tc>
      </w:tr>
      <w:tr w14:paraId="4D4D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314452">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4.分析</w:t>
            </w:r>
            <w:r>
              <w:rPr>
                <w:rFonts w:hint="eastAsia"/>
                <w:sz w:val="24"/>
                <w:szCs w:val="24"/>
                <w:vertAlign w:val="baseline"/>
                <w:lang w:val="en-US" w:eastAsia="zh-CN"/>
              </w:rPr>
              <w:t>——把材料分解为它的组成部分并确定各部分之间如何相互联系以形成总体结构或达到目的</w:t>
            </w:r>
          </w:p>
        </w:tc>
      </w:tr>
      <w:tr w14:paraId="4E79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80E03C">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4.1区分   （如，从人类发展面临的一系列问题中区分出非传统安全威胁）</w:t>
            </w:r>
          </w:p>
          <w:p w14:paraId="0E660453">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4.2组织   （如，运用史实论证当今没有一个国家能够退回自我封闭的孤岛）</w:t>
            </w:r>
          </w:p>
          <w:p w14:paraId="77CBA17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4.3归属   （如，根据习主席在亚洲文明对话大会演讲确定其观点）</w:t>
            </w:r>
          </w:p>
        </w:tc>
      </w:tr>
      <w:tr w14:paraId="0161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7E6D0E">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5.评价</w:t>
            </w:r>
            <w:r>
              <w:rPr>
                <w:rFonts w:hint="eastAsia"/>
                <w:sz w:val="24"/>
                <w:szCs w:val="24"/>
                <w:vertAlign w:val="baseline"/>
                <w:lang w:val="en-US" w:eastAsia="zh-CN"/>
              </w:rPr>
              <w:t>——依据标准或规格做出判断</w:t>
            </w:r>
          </w:p>
        </w:tc>
      </w:tr>
      <w:tr w14:paraId="1B9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873E21">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5.1核查   （如，习主席认为和平发展大势不可逆转的依据是什么）</w:t>
            </w:r>
          </w:p>
          <w:p w14:paraId="0B671F27">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5.2评判   （如，评析“可持续发展”思想的价值）</w:t>
            </w:r>
          </w:p>
        </w:tc>
      </w:tr>
      <w:tr w14:paraId="52C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16B796">
            <w:pPr>
              <w:numPr>
                <w:ilvl w:val="0"/>
                <w:numId w:val="0"/>
              </w:numPr>
              <w:spacing w:line="360" w:lineRule="auto"/>
              <w:rPr>
                <w:rFonts w:hint="default"/>
                <w:sz w:val="24"/>
                <w:szCs w:val="24"/>
                <w:vertAlign w:val="baseline"/>
                <w:lang w:val="en-US" w:eastAsia="zh-CN"/>
              </w:rPr>
            </w:pPr>
            <w:r>
              <w:rPr>
                <w:rFonts w:hint="eastAsia"/>
                <w:b/>
                <w:bCs/>
                <w:sz w:val="24"/>
                <w:szCs w:val="24"/>
                <w:vertAlign w:val="baseline"/>
                <w:lang w:val="en-US" w:eastAsia="zh-CN"/>
              </w:rPr>
              <w:t>6.创造</w:t>
            </w:r>
            <w:r>
              <w:rPr>
                <w:rFonts w:hint="eastAsia"/>
                <w:sz w:val="24"/>
                <w:szCs w:val="24"/>
                <w:vertAlign w:val="baseline"/>
                <w:lang w:val="en-US" w:eastAsia="zh-CN"/>
              </w:rPr>
              <w:t>——将要素加以组合以形成一致的或功能性的整体；将要素重组成为新的模式或结构</w:t>
            </w:r>
          </w:p>
        </w:tc>
      </w:tr>
      <w:tr w14:paraId="4CB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8CBF0A">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6.1创新   （如，欧元已经诞生，展望亚元诞生的条件）</w:t>
            </w:r>
          </w:p>
          <w:p w14:paraId="1E6AD0F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6.2计划   （如，构思一篇主题为中国新外交观的小论文）</w:t>
            </w:r>
          </w:p>
          <w:p w14:paraId="0800CBA2">
            <w:pPr>
              <w:numPr>
                <w:ilvl w:val="0"/>
                <w:numId w:val="0"/>
              </w:numPr>
              <w:spacing w:line="360" w:lineRule="auto"/>
              <w:rPr>
                <w:rFonts w:hint="default"/>
                <w:sz w:val="24"/>
                <w:szCs w:val="24"/>
                <w:vertAlign w:val="baseline"/>
                <w:lang w:val="en-US" w:eastAsia="zh-CN"/>
              </w:rPr>
            </w:pPr>
            <w:r>
              <w:rPr>
                <w:rFonts w:hint="eastAsia"/>
                <w:sz w:val="24"/>
                <w:szCs w:val="24"/>
                <w:vertAlign w:val="baseline"/>
                <w:lang w:val="en-US" w:eastAsia="zh-CN"/>
              </w:rPr>
              <w:t xml:space="preserve">  6.3建构   （如，为</w:t>
            </w:r>
            <w:r>
              <w:rPr>
                <w:rFonts w:hint="eastAsia"/>
                <w:sz w:val="24"/>
                <w:szCs w:val="24"/>
                <w:lang w:val="en-US" w:eastAsia="zh-CN"/>
              </w:rPr>
              <w:t>驾驭科技发展制定相关法规与伦理准则</w:t>
            </w:r>
            <w:r>
              <w:rPr>
                <w:rFonts w:hint="eastAsia"/>
                <w:sz w:val="24"/>
                <w:szCs w:val="24"/>
                <w:vertAlign w:val="baseline"/>
                <w:lang w:val="en-US" w:eastAsia="zh-CN"/>
              </w:rPr>
              <w:t>）</w:t>
            </w:r>
          </w:p>
        </w:tc>
      </w:tr>
    </w:tbl>
    <w:p w14:paraId="7960C191">
      <w:pPr>
        <w:numPr>
          <w:ilvl w:val="0"/>
          <w:numId w:val="0"/>
        </w:numPr>
        <w:spacing w:line="360" w:lineRule="auto"/>
        <w:ind w:firstLine="480"/>
        <w:rPr>
          <w:rFonts w:hint="default"/>
          <w:sz w:val="24"/>
          <w:szCs w:val="24"/>
          <w:lang w:val="en-US" w:eastAsia="zh-CN"/>
        </w:rPr>
      </w:pPr>
      <w:r>
        <w:rPr>
          <w:rFonts w:hint="eastAsia"/>
          <w:sz w:val="24"/>
          <w:szCs w:val="24"/>
          <w:lang w:val="en-US" w:eastAsia="zh-CN"/>
        </w:rPr>
        <w:t>由上表可知，运用经典版布卢姆认知目标分类学不仅使教学目标清晰，而且一连串行为动词保证了可操作性。教师可按照认知规律循序渐进地逐步落实。但对学生而言，该模式缺乏直观数据反馈，难以明确自己的进步幅度和后续努力的方向。因此，教师有必要制作评价量表对每位小组成员的阅读、表达、聆听和个人行为表现等方面做出评价。学生则根据教师提供的评价量表所示数据点，完成自我评价。</w:t>
      </w:r>
    </w:p>
    <w:p w14:paraId="26A5BC6D">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基于数据分析的高阶思维能力评价量表制作</w:t>
      </w:r>
    </w:p>
    <w:p w14:paraId="4693B469">
      <w:pPr>
        <w:numPr>
          <w:ilvl w:val="0"/>
          <w:numId w:val="0"/>
        </w:numPr>
        <w:spacing w:line="360" w:lineRule="auto"/>
        <w:ind w:firstLine="480"/>
        <w:rPr>
          <w:rFonts w:hint="default"/>
          <w:sz w:val="24"/>
          <w:szCs w:val="24"/>
          <w:lang w:val="en-US" w:eastAsia="zh-CN"/>
        </w:rPr>
      </w:pPr>
      <w:r>
        <w:rPr>
          <w:rFonts w:hint="eastAsia"/>
          <w:sz w:val="24"/>
          <w:szCs w:val="24"/>
          <w:lang w:val="en-US" w:eastAsia="zh-CN"/>
        </w:rPr>
        <w:t>评价量表的制作目的就是教师依据课标要求、重难点突破和学生实际情况，提升高阶思维能力，更好地落实学生学科核心素养。具体操作如下:</w:t>
      </w:r>
    </w:p>
    <w:p w14:paraId="1DF3496D">
      <w:pPr>
        <w:spacing w:line="360" w:lineRule="auto"/>
        <w:ind w:firstLine="480"/>
        <w:jc w:val="center"/>
        <w:rPr>
          <w:rFonts w:hint="eastAsia"/>
          <w:b/>
          <w:bCs/>
          <w:sz w:val="24"/>
          <w:szCs w:val="24"/>
          <w:lang w:val="en-US" w:eastAsia="zh-CN"/>
        </w:rPr>
      </w:pPr>
      <w:r>
        <w:rPr>
          <w:rFonts w:hint="eastAsia"/>
          <w:b/>
          <w:bCs/>
          <w:sz w:val="24"/>
          <w:szCs w:val="24"/>
          <w:lang w:val="en-US" w:eastAsia="zh-CN"/>
        </w:rPr>
        <w:t>表2 批判性思维评价量表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53"/>
        <w:gridCol w:w="1460"/>
        <w:gridCol w:w="1760"/>
        <w:gridCol w:w="1833"/>
        <w:gridCol w:w="764"/>
      </w:tblGrid>
      <w:tr w14:paraId="508A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761E522">
            <w:pPr>
              <w:spacing w:line="360" w:lineRule="auto"/>
              <w:rPr>
                <w:rFonts w:hint="eastAsia"/>
                <w:sz w:val="24"/>
                <w:szCs w:val="24"/>
                <w:vertAlign w:val="baseline"/>
                <w:lang w:val="en-US" w:eastAsia="zh-CN"/>
              </w:rPr>
            </w:pPr>
            <w:r>
              <w:rPr>
                <w:rFonts w:hint="eastAsia"/>
                <w:b/>
                <w:bCs/>
                <w:sz w:val="24"/>
                <w:szCs w:val="24"/>
                <w:vertAlign w:val="baseline"/>
                <w:lang w:val="en-US" w:eastAsia="zh-CN"/>
              </w:rPr>
              <w:t>学习任务：研究21世纪以来新兴市场国家对于全球经济政治格局变化的影响。</w:t>
            </w:r>
          </w:p>
        </w:tc>
      </w:tr>
      <w:tr w14:paraId="4285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7493A56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853" w:type="dxa"/>
          </w:tcPr>
          <w:p w14:paraId="305BDC5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3=超出预期</w:t>
            </w:r>
          </w:p>
        </w:tc>
        <w:tc>
          <w:tcPr>
            <w:tcW w:w="1460" w:type="dxa"/>
          </w:tcPr>
          <w:p w14:paraId="6E159FA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2=达到预期</w:t>
            </w:r>
          </w:p>
        </w:tc>
        <w:tc>
          <w:tcPr>
            <w:tcW w:w="1760" w:type="dxa"/>
          </w:tcPr>
          <w:p w14:paraId="4F03A7F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1=仍在努力</w:t>
            </w:r>
          </w:p>
        </w:tc>
        <w:tc>
          <w:tcPr>
            <w:tcW w:w="1833" w:type="dxa"/>
          </w:tcPr>
          <w:p w14:paraId="5614824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0=未达标准</w:t>
            </w:r>
          </w:p>
        </w:tc>
        <w:tc>
          <w:tcPr>
            <w:tcW w:w="764" w:type="dxa"/>
          </w:tcPr>
          <w:p w14:paraId="5CA68C8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5B2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2EA2C66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运用信息</w:t>
            </w:r>
          </w:p>
        </w:tc>
        <w:tc>
          <w:tcPr>
            <w:tcW w:w="1853" w:type="dxa"/>
          </w:tcPr>
          <w:p w14:paraId="46672D8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运用多种渠道收集信息</w:t>
            </w:r>
          </w:p>
        </w:tc>
        <w:tc>
          <w:tcPr>
            <w:tcW w:w="1460" w:type="dxa"/>
          </w:tcPr>
          <w:p w14:paraId="58324AE2">
            <w:pPr>
              <w:spacing w:line="360" w:lineRule="auto"/>
              <w:jc w:val="left"/>
              <w:rPr>
                <w:rFonts w:hint="default"/>
                <w:sz w:val="24"/>
                <w:szCs w:val="24"/>
                <w:vertAlign w:val="baseline"/>
                <w:lang w:val="en-US" w:eastAsia="zh-CN"/>
              </w:rPr>
            </w:pPr>
            <w:r>
              <w:rPr>
                <w:rFonts w:hint="eastAsia"/>
                <w:sz w:val="24"/>
                <w:szCs w:val="24"/>
                <w:vertAlign w:val="baseline"/>
                <w:lang w:val="en-US" w:eastAsia="zh-CN"/>
              </w:rPr>
              <w:t>运用至少两种信息来源</w:t>
            </w:r>
          </w:p>
        </w:tc>
        <w:tc>
          <w:tcPr>
            <w:tcW w:w="1760" w:type="dxa"/>
          </w:tcPr>
          <w:p w14:paraId="535BCEB3">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只能从教材中寻找信息</w:t>
            </w:r>
          </w:p>
        </w:tc>
        <w:tc>
          <w:tcPr>
            <w:tcW w:w="1833" w:type="dxa"/>
          </w:tcPr>
          <w:p w14:paraId="27A1061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不知道如何运用信息</w:t>
            </w:r>
          </w:p>
        </w:tc>
        <w:tc>
          <w:tcPr>
            <w:tcW w:w="764" w:type="dxa"/>
          </w:tcPr>
          <w:p w14:paraId="061D7BF7">
            <w:pPr>
              <w:spacing w:line="360" w:lineRule="auto"/>
              <w:rPr>
                <w:rFonts w:hint="eastAsia"/>
                <w:sz w:val="24"/>
                <w:szCs w:val="24"/>
                <w:vertAlign w:val="baseline"/>
                <w:lang w:val="en-US" w:eastAsia="zh-CN"/>
              </w:rPr>
            </w:pPr>
          </w:p>
        </w:tc>
      </w:tr>
      <w:tr w14:paraId="7033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086C6AC">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分析信息</w:t>
            </w:r>
          </w:p>
        </w:tc>
        <w:tc>
          <w:tcPr>
            <w:tcW w:w="1853" w:type="dxa"/>
          </w:tcPr>
          <w:p w14:paraId="6EC9A24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识别主要议题、分清整体与部分的作用、洞察言外之意</w:t>
            </w:r>
          </w:p>
        </w:tc>
        <w:tc>
          <w:tcPr>
            <w:tcW w:w="1460" w:type="dxa"/>
          </w:tcPr>
          <w:p w14:paraId="1BCE4C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识别和理解主要议题与部分的差别</w:t>
            </w:r>
          </w:p>
        </w:tc>
        <w:tc>
          <w:tcPr>
            <w:tcW w:w="1760" w:type="dxa"/>
          </w:tcPr>
          <w:p w14:paraId="21112F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需要在教师的提示下辨别主要议题与部分的区别</w:t>
            </w:r>
          </w:p>
        </w:tc>
        <w:tc>
          <w:tcPr>
            <w:tcW w:w="1833" w:type="dxa"/>
          </w:tcPr>
          <w:p w14:paraId="73047733">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不能准确地描述主要议题，不能聚焦关键问题</w:t>
            </w:r>
          </w:p>
        </w:tc>
        <w:tc>
          <w:tcPr>
            <w:tcW w:w="764" w:type="dxa"/>
          </w:tcPr>
          <w:p w14:paraId="784C2EC8">
            <w:pPr>
              <w:spacing w:line="360" w:lineRule="auto"/>
              <w:rPr>
                <w:rFonts w:hint="eastAsia"/>
                <w:sz w:val="24"/>
                <w:szCs w:val="24"/>
                <w:vertAlign w:val="baseline"/>
                <w:lang w:val="en-US" w:eastAsia="zh-CN"/>
              </w:rPr>
            </w:pPr>
          </w:p>
        </w:tc>
      </w:tr>
      <w:tr w14:paraId="1628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5C47AAF">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形成见解</w:t>
            </w:r>
          </w:p>
        </w:tc>
        <w:tc>
          <w:tcPr>
            <w:tcW w:w="1853" w:type="dxa"/>
          </w:tcPr>
          <w:p w14:paraId="3D6DF07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能够充分理解文本内涵并用自己的话向他人解释文本</w:t>
            </w:r>
          </w:p>
        </w:tc>
        <w:tc>
          <w:tcPr>
            <w:tcW w:w="1460" w:type="dxa"/>
          </w:tcPr>
          <w:p w14:paraId="21DBE964">
            <w:pPr>
              <w:spacing w:line="360" w:lineRule="auto"/>
              <w:jc w:val="left"/>
              <w:rPr>
                <w:rFonts w:hint="default"/>
                <w:sz w:val="24"/>
                <w:szCs w:val="24"/>
                <w:vertAlign w:val="baseline"/>
                <w:lang w:val="en-US" w:eastAsia="zh-CN"/>
              </w:rPr>
            </w:pPr>
            <w:r>
              <w:rPr>
                <w:rFonts w:hint="eastAsia"/>
                <w:sz w:val="24"/>
                <w:szCs w:val="24"/>
                <w:vertAlign w:val="baseline"/>
                <w:lang w:val="en-US" w:eastAsia="zh-CN"/>
              </w:rPr>
              <w:t>基本弄清文本的含义，并能够运用文本得出一定结论</w:t>
            </w:r>
          </w:p>
        </w:tc>
        <w:tc>
          <w:tcPr>
            <w:tcW w:w="1760" w:type="dxa"/>
          </w:tcPr>
          <w:p w14:paraId="3CDFCA9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能够筛选出一些对解决问题有用的文本信息</w:t>
            </w:r>
          </w:p>
        </w:tc>
        <w:tc>
          <w:tcPr>
            <w:tcW w:w="1833" w:type="dxa"/>
          </w:tcPr>
          <w:p w14:paraId="32F4FE28">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不能区分见解与文本的差别，摘抄的文本原文无助于问题的解决</w:t>
            </w:r>
          </w:p>
        </w:tc>
        <w:tc>
          <w:tcPr>
            <w:tcW w:w="764" w:type="dxa"/>
          </w:tcPr>
          <w:p w14:paraId="560F045A">
            <w:pPr>
              <w:spacing w:line="360" w:lineRule="auto"/>
              <w:rPr>
                <w:rFonts w:hint="eastAsia"/>
                <w:sz w:val="24"/>
                <w:szCs w:val="24"/>
                <w:vertAlign w:val="baseline"/>
                <w:lang w:val="en-US" w:eastAsia="zh-CN"/>
              </w:rPr>
            </w:pPr>
          </w:p>
        </w:tc>
      </w:tr>
      <w:tr w14:paraId="203A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F8572A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综合论述</w:t>
            </w:r>
          </w:p>
        </w:tc>
        <w:tc>
          <w:tcPr>
            <w:tcW w:w="1853" w:type="dxa"/>
          </w:tcPr>
          <w:p w14:paraId="1065B52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能从文本中找到至少三种主要观点，将它们以一种易于理解的方式组织起来</w:t>
            </w:r>
          </w:p>
        </w:tc>
        <w:tc>
          <w:tcPr>
            <w:tcW w:w="1460" w:type="dxa"/>
          </w:tcPr>
          <w:p w14:paraId="65F308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能找到两种不同的观点，并能将它们综合在一个有逻辑的总结性陈述中</w:t>
            </w:r>
          </w:p>
        </w:tc>
        <w:tc>
          <w:tcPr>
            <w:tcW w:w="1760" w:type="dxa"/>
          </w:tcPr>
          <w:p w14:paraId="422967E8">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能找出两种主要观点，但只能复述出来，做不到整合</w:t>
            </w:r>
          </w:p>
        </w:tc>
        <w:tc>
          <w:tcPr>
            <w:tcW w:w="1833" w:type="dxa"/>
          </w:tcPr>
          <w:p w14:paraId="44E53F0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只能找出一种观点，并将其复述</w:t>
            </w:r>
          </w:p>
        </w:tc>
        <w:tc>
          <w:tcPr>
            <w:tcW w:w="764" w:type="dxa"/>
          </w:tcPr>
          <w:p w14:paraId="45FF4C55">
            <w:pPr>
              <w:spacing w:line="360" w:lineRule="auto"/>
              <w:rPr>
                <w:rFonts w:hint="eastAsia"/>
                <w:sz w:val="24"/>
                <w:szCs w:val="24"/>
                <w:vertAlign w:val="baseline"/>
                <w:lang w:val="en-US" w:eastAsia="zh-CN"/>
              </w:rPr>
            </w:pPr>
          </w:p>
        </w:tc>
      </w:tr>
    </w:tbl>
    <w:p w14:paraId="778E769B">
      <w:pPr>
        <w:spacing w:line="360" w:lineRule="auto"/>
        <w:ind w:firstLine="480"/>
        <w:rPr>
          <w:rFonts w:hint="eastAsia"/>
          <w:sz w:val="24"/>
          <w:szCs w:val="24"/>
          <w:lang w:val="en-US" w:eastAsia="zh-CN"/>
        </w:rPr>
      </w:pPr>
      <w:r>
        <w:rPr>
          <w:rFonts w:hint="eastAsia"/>
          <w:sz w:val="24"/>
          <w:szCs w:val="24"/>
          <w:lang w:val="en-US" w:eastAsia="zh-CN"/>
        </w:rPr>
        <w:t>批判性思维的定义常常包括分析信息，有策略地决定，乐于思考，运用逻辑探究，做推断，评价证据，检验结论，做出准确的判断，以及分析假设等内容。准确性、一致性和客观性是任何知识和能力的质量评价的内在要求。但事实上，用于描述批判性思维的很多术语都含有主观判断的要素，这使得相比于其他只有唯一正确答案的领域，批判性思维的评价更具挑战性。</w:t>
      </w:r>
      <w:r>
        <w:rPr>
          <w:rFonts w:hint="eastAsia"/>
          <w:sz w:val="24"/>
          <w:szCs w:val="24"/>
          <w:vertAlign w:val="superscript"/>
          <w:lang w:val="en-US" w:eastAsia="zh-CN"/>
        </w:rPr>
        <w:t>[3]</w:t>
      </w:r>
      <w:r>
        <w:rPr>
          <w:rFonts w:hint="eastAsia"/>
          <w:sz w:val="24"/>
          <w:szCs w:val="24"/>
          <w:lang w:val="en-US" w:eastAsia="zh-CN"/>
        </w:rPr>
        <w:t>更好地理解什么是批判性思维，才能使我们更好地评价这些能力。</w:t>
      </w:r>
    </w:p>
    <w:p w14:paraId="177186D1">
      <w:pPr>
        <w:spacing w:line="360" w:lineRule="auto"/>
        <w:ind w:firstLine="480"/>
        <w:jc w:val="center"/>
        <w:rPr>
          <w:rFonts w:hint="eastAsia"/>
          <w:b/>
          <w:bCs/>
          <w:sz w:val="24"/>
          <w:szCs w:val="24"/>
          <w:lang w:val="en-US" w:eastAsia="zh-CN"/>
        </w:rPr>
      </w:pPr>
      <w:r>
        <w:rPr>
          <w:rFonts w:hint="eastAsia"/>
          <w:b/>
          <w:bCs/>
          <w:sz w:val="24"/>
          <w:szCs w:val="24"/>
          <w:lang w:val="en-US" w:eastAsia="zh-CN"/>
        </w:rPr>
        <w:t>表3 问题解决评价量表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26"/>
        <w:gridCol w:w="1565"/>
        <w:gridCol w:w="1546"/>
        <w:gridCol w:w="1800"/>
        <w:gridCol w:w="771"/>
      </w:tblGrid>
      <w:tr w14:paraId="2BD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3A6CE0A2">
            <w:pPr>
              <w:spacing w:line="360" w:lineRule="auto"/>
              <w:rPr>
                <w:rFonts w:hint="default"/>
                <w:sz w:val="24"/>
                <w:szCs w:val="24"/>
                <w:vertAlign w:val="baseline"/>
                <w:lang w:val="en-US" w:eastAsia="zh-CN"/>
              </w:rPr>
            </w:pPr>
            <w:r>
              <w:rPr>
                <w:rFonts w:hint="eastAsia"/>
                <w:b/>
                <w:bCs/>
                <w:sz w:val="24"/>
                <w:szCs w:val="24"/>
                <w:vertAlign w:val="baseline"/>
                <w:lang w:val="en-US" w:eastAsia="zh-CN"/>
              </w:rPr>
              <w:t>学习任务：如何应对全球化进程中出现的各种问题？</w:t>
            </w:r>
          </w:p>
        </w:tc>
      </w:tr>
      <w:tr w14:paraId="4A9F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DB62CB">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126" w:type="dxa"/>
          </w:tcPr>
          <w:p w14:paraId="35B9D733">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4=专家</w:t>
            </w:r>
          </w:p>
        </w:tc>
        <w:tc>
          <w:tcPr>
            <w:tcW w:w="1565" w:type="dxa"/>
          </w:tcPr>
          <w:p w14:paraId="6574632A">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3=胜任</w:t>
            </w:r>
          </w:p>
        </w:tc>
        <w:tc>
          <w:tcPr>
            <w:tcW w:w="1546" w:type="dxa"/>
          </w:tcPr>
          <w:p w14:paraId="6773CF2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2=学徒</w:t>
            </w:r>
          </w:p>
        </w:tc>
        <w:tc>
          <w:tcPr>
            <w:tcW w:w="1800" w:type="dxa"/>
          </w:tcPr>
          <w:p w14:paraId="5E63210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71" w:type="dxa"/>
          </w:tcPr>
          <w:p w14:paraId="3350C5E6">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4712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E0B90F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识别问题</w:t>
            </w:r>
          </w:p>
        </w:tc>
        <w:tc>
          <w:tcPr>
            <w:tcW w:w="2126" w:type="dxa"/>
          </w:tcPr>
          <w:p w14:paraId="105AB4B4">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能清晰地描述问题，解释问题的复杂性</w:t>
            </w:r>
          </w:p>
        </w:tc>
        <w:tc>
          <w:tcPr>
            <w:tcW w:w="1565" w:type="dxa"/>
          </w:tcPr>
          <w:p w14:paraId="7B0748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能描述问题的基本信息，以及相关事例</w:t>
            </w:r>
          </w:p>
        </w:tc>
        <w:tc>
          <w:tcPr>
            <w:tcW w:w="1546" w:type="dxa"/>
          </w:tcPr>
          <w:p w14:paraId="593A25E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能描述一部分问题，但不能全面地理解问题</w:t>
            </w:r>
          </w:p>
        </w:tc>
        <w:tc>
          <w:tcPr>
            <w:tcW w:w="1800" w:type="dxa"/>
          </w:tcPr>
          <w:p w14:paraId="5CF23EB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难以识别和定义问题地各个部分</w:t>
            </w:r>
          </w:p>
        </w:tc>
        <w:tc>
          <w:tcPr>
            <w:tcW w:w="771" w:type="dxa"/>
          </w:tcPr>
          <w:p w14:paraId="52BAB94A">
            <w:pPr>
              <w:spacing w:line="360" w:lineRule="auto"/>
              <w:jc w:val="left"/>
              <w:rPr>
                <w:rFonts w:hint="eastAsia"/>
                <w:sz w:val="24"/>
                <w:szCs w:val="24"/>
                <w:vertAlign w:val="baseline"/>
                <w:lang w:val="en-US" w:eastAsia="zh-CN"/>
              </w:rPr>
            </w:pPr>
          </w:p>
        </w:tc>
      </w:tr>
      <w:tr w14:paraId="1B6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1A2DD1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寻找多种解决方案</w:t>
            </w:r>
          </w:p>
        </w:tc>
        <w:tc>
          <w:tcPr>
            <w:tcW w:w="2126" w:type="dxa"/>
          </w:tcPr>
          <w:p w14:paraId="5745440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能想出至少四个可行的、清晰的解决方案</w:t>
            </w:r>
          </w:p>
        </w:tc>
        <w:tc>
          <w:tcPr>
            <w:tcW w:w="1565" w:type="dxa"/>
          </w:tcPr>
          <w:p w14:paraId="1D2F898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能提供两到三个似乎可行的解决方案</w:t>
            </w:r>
          </w:p>
        </w:tc>
        <w:tc>
          <w:tcPr>
            <w:tcW w:w="1546" w:type="dxa"/>
          </w:tcPr>
          <w:p w14:paraId="41468679">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能描述以一到两个可能的解决方案</w:t>
            </w:r>
          </w:p>
        </w:tc>
        <w:tc>
          <w:tcPr>
            <w:tcW w:w="1800" w:type="dxa"/>
          </w:tcPr>
          <w:p w14:paraId="570F356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有一个解决方案，但不确定它是否可行</w:t>
            </w:r>
          </w:p>
        </w:tc>
        <w:tc>
          <w:tcPr>
            <w:tcW w:w="771" w:type="dxa"/>
          </w:tcPr>
          <w:p w14:paraId="6BF64226">
            <w:pPr>
              <w:spacing w:line="360" w:lineRule="auto"/>
              <w:jc w:val="left"/>
              <w:rPr>
                <w:rFonts w:hint="eastAsia"/>
                <w:sz w:val="24"/>
                <w:szCs w:val="24"/>
                <w:vertAlign w:val="baseline"/>
                <w:lang w:val="en-US" w:eastAsia="zh-CN"/>
              </w:rPr>
            </w:pPr>
          </w:p>
        </w:tc>
      </w:tr>
      <w:tr w14:paraId="27E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40DBF9F">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为解决方案辩护</w:t>
            </w:r>
          </w:p>
        </w:tc>
        <w:tc>
          <w:tcPr>
            <w:tcW w:w="2126" w:type="dxa"/>
          </w:tcPr>
          <w:p w14:paraId="11A1F7E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能分析所有解决方案并选择其中一个最佳方案进行充分地论证</w:t>
            </w:r>
          </w:p>
        </w:tc>
        <w:tc>
          <w:tcPr>
            <w:tcW w:w="1565" w:type="dxa"/>
          </w:tcPr>
          <w:p w14:paraId="0EFDC8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能评价解决方案，并选择一个制定计划</w:t>
            </w:r>
          </w:p>
        </w:tc>
        <w:tc>
          <w:tcPr>
            <w:tcW w:w="1546" w:type="dxa"/>
          </w:tcPr>
          <w:p w14:paraId="1DB0C89C">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能为自己认为合理地选择提供一个简单的解释</w:t>
            </w:r>
          </w:p>
        </w:tc>
        <w:tc>
          <w:tcPr>
            <w:tcW w:w="1800" w:type="dxa"/>
          </w:tcPr>
          <w:p w14:paraId="070712AA">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无法解释一个解决方案</w:t>
            </w:r>
          </w:p>
        </w:tc>
        <w:tc>
          <w:tcPr>
            <w:tcW w:w="771" w:type="dxa"/>
          </w:tcPr>
          <w:p w14:paraId="19CEE66E">
            <w:pPr>
              <w:spacing w:line="360" w:lineRule="auto"/>
              <w:jc w:val="left"/>
              <w:rPr>
                <w:rFonts w:hint="eastAsia"/>
                <w:sz w:val="24"/>
                <w:szCs w:val="24"/>
                <w:vertAlign w:val="baseline"/>
                <w:lang w:val="en-US" w:eastAsia="zh-CN"/>
              </w:rPr>
            </w:pPr>
          </w:p>
        </w:tc>
      </w:tr>
    </w:tbl>
    <w:p w14:paraId="775364B6">
      <w:pPr>
        <w:spacing w:line="360" w:lineRule="auto"/>
        <w:ind w:firstLine="480"/>
        <w:rPr>
          <w:rFonts w:hint="default"/>
          <w:sz w:val="24"/>
          <w:szCs w:val="24"/>
          <w:lang w:val="en-US" w:eastAsia="zh-CN"/>
        </w:rPr>
      </w:pPr>
      <w:r>
        <w:rPr>
          <w:rFonts w:hint="eastAsia"/>
          <w:sz w:val="24"/>
          <w:szCs w:val="24"/>
          <w:lang w:val="en-US" w:eastAsia="zh-CN"/>
        </w:rPr>
        <w:t>问题解决是识别问题、思考选项和做出明智选择的基本过程。当不存在简单的答案或常规解决方案时，我们就需要运用问题解决能力。</w:t>
      </w:r>
      <w:r>
        <w:rPr>
          <w:rFonts w:hint="eastAsia"/>
          <w:sz w:val="24"/>
          <w:szCs w:val="24"/>
          <w:vertAlign w:val="superscript"/>
          <w:lang w:val="en-US" w:eastAsia="zh-CN"/>
        </w:rPr>
        <w:t>[4]</w:t>
      </w:r>
      <w:r>
        <w:rPr>
          <w:rFonts w:hint="eastAsia"/>
          <w:sz w:val="24"/>
          <w:szCs w:val="24"/>
          <w:lang w:val="en-US" w:eastAsia="zh-CN"/>
        </w:rPr>
        <w:t>运用评价量表能引导学生在理解问题、掀起头脑风暴，思考所有可能的解决方案、设计和执行计划和检视结果方面更有方向感。</w:t>
      </w:r>
    </w:p>
    <w:p w14:paraId="6187AFF8">
      <w:pPr>
        <w:spacing w:line="360" w:lineRule="auto"/>
        <w:ind w:firstLine="480"/>
        <w:jc w:val="center"/>
        <w:rPr>
          <w:rFonts w:hint="eastAsia"/>
          <w:b/>
          <w:bCs/>
          <w:sz w:val="24"/>
          <w:szCs w:val="24"/>
          <w:lang w:val="en-US" w:eastAsia="zh-CN"/>
        </w:rPr>
      </w:pPr>
      <w:r>
        <w:rPr>
          <w:rFonts w:hint="eastAsia"/>
          <w:b/>
          <w:bCs/>
          <w:sz w:val="24"/>
          <w:szCs w:val="24"/>
          <w:lang w:val="en-US" w:eastAsia="zh-CN"/>
        </w:rPr>
        <w:t>表4 创造力评价量表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480"/>
        <w:gridCol w:w="1394"/>
        <w:gridCol w:w="1340"/>
        <w:gridCol w:w="1260"/>
        <w:gridCol w:w="746"/>
      </w:tblGrid>
      <w:tr w14:paraId="11C7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197A59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1480" w:type="dxa"/>
          </w:tcPr>
          <w:p w14:paraId="3D28149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4=高级</w:t>
            </w:r>
          </w:p>
        </w:tc>
        <w:tc>
          <w:tcPr>
            <w:tcW w:w="1394" w:type="dxa"/>
          </w:tcPr>
          <w:p w14:paraId="62271CB2">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3=熟练</w:t>
            </w:r>
          </w:p>
        </w:tc>
        <w:tc>
          <w:tcPr>
            <w:tcW w:w="1340" w:type="dxa"/>
          </w:tcPr>
          <w:p w14:paraId="0C32C9D1">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2=基础</w:t>
            </w:r>
          </w:p>
        </w:tc>
        <w:tc>
          <w:tcPr>
            <w:tcW w:w="1260" w:type="dxa"/>
          </w:tcPr>
          <w:p w14:paraId="511B23E7">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1=新手</w:t>
            </w:r>
          </w:p>
        </w:tc>
        <w:tc>
          <w:tcPr>
            <w:tcW w:w="746" w:type="dxa"/>
          </w:tcPr>
          <w:p w14:paraId="626C0A35">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分数</w:t>
            </w:r>
          </w:p>
        </w:tc>
      </w:tr>
      <w:tr w14:paraId="60E6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BBE9925">
            <w:pPr>
              <w:spacing w:line="360" w:lineRule="auto"/>
              <w:rPr>
                <w:rFonts w:hint="default"/>
                <w:sz w:val="24"/>
                <w:szCs w:val="24"/>
                <w:vertAlign w:val="baseline"/>
                <w:lang w:val="en-US" w:eastAsia="zh-CN"/>
              </w:rPr>
            </w:pPr>
            <w:r>
              <w:rPr>
                <w:rFonts w:hint="eastAsia"/>
                <w:b/>
                <w:bCs/>
                <w:sz w:val="24"/>
                <w:szCs w:val="24"/>
                <w:vertAlign w:val="baseline"/>
                <w:lang w:val="en-US" w:eastAsia="zh-CN"/>
              </w:rPr>
              <w:t>好奇心</w:t>
            </w:r>
            <w:r>
              <w:rPr>
                <w:rFonts w:hint="eastAsia"/>
                <w:sz w:val="24"/>
                <w:szCs w:val="24"/>
                <w:vertAlign w:val="baseline"/>
                <w:lang w:val="en-US" w:eastAsia="zh-CN"/>
              </w:rPr>
              <w:t>：探究、提问，寻求更深层次的意义。</w:t>
            </w:r>
            <w:r>
              <w:rPr>
                <w:rFonts w:hint="eastAsia" w:ascii="楷体" w:hAnsi="楷体" w:eastAsia="楷体" w:cs="楷体"/>
                <w:sz w:val="24"/>
                <w:szCs w:val="24"/>
                <w:vertAlign w:val="baseline"/>
                <w:lang w:val="en-US" w:eastAsia="zh-CN"/>
              </w:rPr>
              <w:t>例：关于“一带一路”倡议，你想知道什么？</w:t>
            </w:r>
          </w:p>
        </w:tc>
        <w:tc>
          <w:tcPr>
            <w:tcW w:w="1480" w:type="dxa"/>
          </w:tcPr>
          <w:p w14:paraId="5E03FE6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被一切新事物、新想法吸引，积极追寻未知</w:t>
            </w:r>
          </w:p>
        </w:tc>
        <w:tc>
          <w:tcPr>
            <w:tcW w:w="1394" w:type="dxa"/>
          </w:tcPr>
          <w:p w14:paraId="1232B78A">
            <w:pPr>
              <w:spacing w:line="360" w:lineRule="auto"/>
              <w:jc w:val="left"/>
              <w:rPr>
                <w:rFonts w:hint="default"/>
                <w:sz w:val="24"/>
                <w:szCs w:val="24"/>
                <w:vertAlign w:val="baseline"/>
                <w:lang w:val="en-US" w:eastAsia="zh-CN"/>
              </w:rPr>
            </w:pPr>
            <w:r>
              <w:rPr>
                <w:rFonts w:hint="eastAsia"/>
                <w:sz w:val="24"/>
                <w:szCs w:val="24"/>
                <w:vertAlign w:val="baseline"/>
                <w:lang w:val="en-US" w:eastAsia="zh-CN"/>
              </w:rPr>
              <w:t>对部分新事物、新想法有兴趣，愿意探索</w:t>
            </w:r>
          </w:p>
        </w:tc>
        <w:tc>
          <w:tcPr>
            <w:tcW w:w="1340" w:type="dxa"/>
          </w:tcPr>
          <w:p w14:paraId="7FB2975C">
            <w:pPr>
              <w:spacing w:line="360" w:lineRule="auto"/>
              <w:jc w:val="left"/>
              <w:rPr>
                <w:rFonts w:hint="default"/>
                <w:sz w:val="24"/>
                <w:szCs w:val="24"/>
                <w:vertAlign w:val="baseline"/>
                <w:lang w:val="en-US" w:eastAsia="zh-CN"/>
              </w:rPr>
            </w:pPr>
            <w:r>
              <w:rPr>
                <w:rFonts w:hint="eastAsia"/>
                <w:sz w:val="24"/>
                <w:szCs w:val="24"/>
                <w:vertAlign w:val="baseline"/>
                <w:lang w:val="en-US" w:eastAsia="zh-CN"/>
              </w:rPr>
              <w:t>借助启发才能探索新的思考方式</w:t>
            </w:r>
          </w:p>
        </w:tc>
        <w:tc>
          <w:tcPr>
            <w:tcW w:w="1260" w:type="dxa"/>
          </w:tcPr>
          <w:p w14:paraId="386327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感到紧张，并试图避免新的想法和事情</w:t>
            </w:r>
          </w:p>
        </w:tc>
        <w:tc>
          <w:tcPr>
            <w:tcW w:w="746" w:type="dxa"/>
          </w:tcPr>
          <w:p w14:paraId="46756191">
            <w:pPr>
              <w:spacing w:line="360" w:lineRule="auto"/>
              <w:jc w:val="left"/>
              <w:rPr>
                <w:rFonts w:hint="eastAsia"/>
                <w:sz w:val="24"/>
                <w:szCs w:val="24"/>
                <w:vertAlign w:val="baseline"/>
                <w:lang w:val="en-US" w:eastAsia="zh-CN"/>
              </w:rPr>
            </w:pPr>
          </w:p>
        </w:tc>
      </w:tr>
      <w:tr w14:paraId="6FEF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9B86E00">
            <w:pPr>
              <w:spacing w:line="360" w:lineRule="auto"/>
              <w:rPr>
                <w:rFonts w:hint="default"/>
                <w:sz w:val="24"/>
                <w:szCs w:val="24"/>
                <w:vertAlign w:val="baseline"/>
                <w:lang w:val="en-US" w:eastAsia="zh-CN"/>
              </w:rPr>
            </w:pPr>
            <w:r>
              <w:rPr>
                <w:rFonts w:hint="eastAsia"/>
                <w:b/>
                <w:bCs/>
                <w:sz w:val="24"/>
                <w:szCs w:val="24"/>
                <w:vertAlign w:val="baseline"/>
                <w:lang w:val="en-US" w:eastAsia="zh-CN"/>
              </w:rPr>
              <w:t>流畅性</w:t>
            </w:r>
            <w:r>
              <w:rPr>
                <w:rFonts w:hint="eastAsia"/>
                <w:sz w:val="24"/>
                <w:szCs w:val="24"/>
                <w:vertAlign w:val="baseline"/>
                <w:lang w:val="en-US" w:eastAsia="zh-CN"/>
              </w:rPr>
              <w:t>：产生一系列的想法。</w:t>
            </w:r>
            <w:r>
              <w:rPr>
                <w:rFonts w:hint="eastAsia" w:ascii="楷体" w:hAnsi="楷体" w:eastAsia="楷体" w:cs="楷体"/>
                <w:sz w:val="24"/>
                <w:szCs w:val="24"/>
                <w:vertAlign w:val="baseline"/>
                <w:lang w:val="en-US" w:eastAsia="zh-CN"/>
              </w:rPr>
              <w:t>例：当前有利于维护世界和平的因素有哪些？</w:t>
            </w:r>
          </w:p>
        </w:tc>
        <w:tc>
          <w:tcPr>
            <w:tcW w:w="1480" w:type="dxa"/>
          </w:tcPr>
          <w:p w14:paraId="2CEE2F25">
            <w:pPr>
              <w:spacing w:line="360" w:lineRule="auto"/>
              <w:jc w:val="left"/>
              <w:rPr>
                <w:rFonts w:hint="default"/>
                <w:sz w:val="24"/>
                <w:szCs w:val="24"/>
                <w:vertAlign w:val="baseline"/>
                <w:lang w:val="en-US" w:eastAsia="zh-CN"/>
              </w:rPr>
            </w:pPr>
            <w:r>
              <w:rPr>
                <w:rFonts w:hint="eastAsia"/>
                <w:sz w:val="24"/>
                <w:szCs w:val="24"/>
                <w:vertAlign w:val="baseline"/>
                <w:lang w:val="en-US" w:eastAsia="zh-CN"/>
              </w:rPr>
              <w:t>较强的发散性思维，能联系到诸多相关事物</w:t>
            </w:r>
          </w:p>
        </w:tc>
        <w:tc>
          <w:tcPr>
            <w:tcW w:w="1394" w:type="dxa"/>
          </w:tcPr>
          <w:p w14:paraId="687CD4A5">
            <w:pPr>
              <w:spacing w:line="360" w:lineRule="auto"/>
              <w:jc w:val="left"/>
              <w:rPr>
                <w:rFonts w:hint="default"/>
                <w:sz w:val="24"/>
                <w:szCs w:val="24"/>
                <w:vertAlign w:val="baseline"/>
                <w:lang w:val="en-US" w:eastAsia="zh-CN"/>
              </w:rPr>
            </w:pPr>
            <w:r>
              <w:rPr>
                <w:rFonts w:hint="eastAsia"/>
                <w:sz w:val="24"/>
                <w:szCs w:val="24"/>
                <w:vertAlign w:val="baseline"/>
                <w:lang w:val="en-US" w:eastAsia="zh-CN"/>
              </w:rPr>
              <w:t>分析问题能联系到一部分相关事物</w:t>
            </w:r>
          </w:p>
        </w:tc>
        <w:tc>
          <w:tcPr>
            <w:tcW w:w="1340" w:type="dxa"/>
          </w:tcPr>
          <w:p w14:paraId="1432E77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需要帮助才能将事物之间的联系弄清</w:t>
            </w:r>
          </w:p>
        </w:tc>
        <w:tc>
          <w:tcPr>
            <w:tcW w:w="1260" w:type="dxa"/>
          </w:tcPr>
          <w:p w14:paraId="4DA5408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只能从当下学习内容中找现成答案</w:t>
            </w:r>
          </w:p>
        </w:tc>
        <w:tc>
          <w:tcPr>
            <w:tcW w:w="746" w:type="dxa"/>
          </w:tcPr>
          <w:p w14:paraId="40694740">
            <w:pPr>
              <w:spacing w:line="360" w:lineRule="auto"/>
              <w:jc w:val="left"/>
              <w:rPr>
                <w:rFonts w:hint="eastAsia"/>
                <w:sz w:val="24"/>
                <w:szCs w:val="24"/>
                <w:vertAlign w:val="baseline"/>
                <w:lang w:val="en-US" w:eastAsia="zh-CN"/>
              </w:rPr>
            </w:pPr>
          </w:p>
        </w:tc>
      </w:tr>
      <w:tr w14:paraId="5104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85EE915">
            <w:pPr>
              <w:spacing w:line="360" w:lineRule="auto"/>
              <w:rPr>
                <w:rFonts w:hint="default"/>
                <w:sz w:val="24"/>
                <w:szCs w:val="24"/>
                <w:vertAlign w:val="baseline"/>
                <w:lang w:val="en-US" w:eastAsia="zh-CN"/>
              </w:rPr>
            </w:pPr>
            <w:r>
              <w:rPr>
                <w:rFonts w:hint="eastAsia"/>
                <w:b/>
                <w:bCs/>
                <w:sz w:val="24"/>
                <w:szCs w:val="24"/>
                <w:vertAlign w:val="baseline"/>
                <w:lang w:val="en-US" w:eastAsia="zh-CN"/>
              </w:rPr>
              <w:t>原创性</w:t>
            </w:r>
            <w:r>
              <w:rPr>
                <w:rFonts w:hint="eastAsia"/>
                <w:sz w:val="24"/>
                <w:szCs w:val="24"/>
                <w:vertAlign w:val="baseline"/>
                <w:lang w:val="en-US" w:eastAsia="zh-CN"/>
              </w:rPr>
              <w:t>：新颖、独特或不寻常的想法。</w:t>
            </w:r>
            <w:r>
              <w:rPr>
                <w:rFonts w:hint="eastAsia" w:ascii="楷体" w:hAnsi="楷体" w:eastAsia="楷体" w:cs="楷体"/>
                <w:sz w:val="24"/>
                <w:szCs w:val="24"/>
                <w:vertAlign w:val="baseline"/>
                <w:lang w:val="en-US" w:eastAsia="zh-CN"/>
              </w:rPr>
              <w:t>例：你如何设计“一带一路”宣传画？</w:t>
            </w:r>
          </w:p>
        </w:tc>
        <w:tc>
          <w:tcPr>
            <w:tcW w:w="1480" w:type="dxa"/>
          </w:tcPr>
          <w:p w14:paraId="725D3C47">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能提出很多新想法</w:t>
            </w:r>
          </w:p>
        </w:tc>
        <w:tc>
          <w:tcPr>
            <w:tcW w:w="1394" w:type="dxa"/>
          </w:tcPr>
          <w:p w14:paraId="5BCF2259">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可以提出一些新想法</w:t>
            </w:r>
          </w:p>
        </w:tc>
        <w:tc>
          <w:tcPr>
            <w:tcW w:w="1340" w:type="dxa"/>
          </w:tcPr>
          <w:p w14:paraId="163FFC6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需要提示才能提出一点想法</w:t>
            </w:r>
          </w:p>
        </w:tc>
        <w:tc>
          <w:tcPr>
            <w:tcW w:w="1260" w:type="dxa"/>
          </w:tcPr>
          <w:p w14:paraId="2CB6A9DF">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只能重复已有的想法</w:t>
            </w:r>
          </w:p>
        </w:tc>
        <w:tc>
          <w:tcPr>
            <w:tcW w:w="746" w:type="dxa"/>
          </w:tcPr>
          <w:p w14:paraId="7BA85846">
            <w:pPr>
              <w:spacing w:line="360" w:lineRule="auto"/>
              <w:jc w:val="left"/>
              <w:rPr>
                <w:rFonts w:hint="eastAsia"/>
                <w:sz w:val="24"/>
                <w:szCs w:val="24"/>
                <w:vertAlign w:val="baseline"/>
                <w:lang w:val="en-US" w:eastAsia="zh-CN"/>
              </w:rPr>
            </w:pPr>
          </w:p>
        </w:tc>
      </w:tr>
      <w:tr w14:paraId="0C2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2D5E2CE9">
            <w:pPr>
              <w:spacing w:line="360" w:lineRule="auto"/>
              <w:rPr>
                <w:rFonts w:hint="default"/>
                <w:sz w:val="24"/>
                <w:szCs w:val="24"/>
                <w:vertAlign w:val="baseline"/>
                <w:lang w:val="en-US" w:eastAsia="zh-CN"/>
              </w:rPr>
            </w:pPr>
            <w:r>
              <w:rPr>
                <w:rFonts w:hint="eastAsia"/>
                <w:b/>
                <w:bCs/>
                <w:sz w:val="24"/>
                <w:szCs w:val="24"/>
                <w:vertAlign w:val="baseline"/>
                <w:lang w:val="en-US" w:eastAsia="zh-CN"/>
              </w:rPr>
              <w:t>详尽性</w:t>
            </w:r>
            <w:r>
              <w:rPr>
                <w:rFonts w:hint="eastAsia"/>
                <w:sz w:val="24"/>
                <w:szCs w:val="24"/>
                <w:vertAlign w:val="baseline"/>
                <w:lang w:val="en-US" w:eastAsia="zh-CN"/>
              </w:rPr>
              <w:t>：展示详尽细节或在已有基础上添加细节的想法。</w:t>
            </w:r>
            <w:r>
              <w:rPr>
                <w:rFonts w:hint="eastAsia" w:ascii="楷体" w:hAnsi="楷体" w:eastAsia="楷体" w:cs="楷体"/>
                <w:sz w:val="24"/>
                <w:szCs w:val="24"/>
                <w:vertAlign w:val="baseline"/>
                <w:lang w:val="en-US" w:eastAsia="zh-CN"/>
              </w:rPr>
              <w:t>例：说说一带一路具体实施情况及其意义。</w:t>
            </w:r>
          </w:p>
        </w:tc>
        <w:tc>
          <w:tcPr>
            <w:tcW w:w="1480" w:type="dxa"/>
          </w:tcPr>
          <w:p w14:paraId="3661F1BD">
            <w:pPr>
              <w:spacing w:line="360" w:lineRule="auto"/>
              <w:jc w:val="left"/>
              <w:rPr>
                <w:rFonts w:hint="default"/>
                <w:sz w:val="24"/>
                <w:szCs w:val="24"/>
                <w:vertAlign w:val="baseline"/>
                <w:lang w:val="en-US" w:eastAsia="zh-CN"/>
              </w:rPr>
            </w:pPr>
            <w:r>
              <w:rPr>
                <w:rFonts w:hint="eastAsia"/>
                <w:sz w:val="24"/>
                <w:szCs w:val="24"/>
                <w:vertAlign w:val="baseline"/>
                <w:lang w:val="en-US" w:eastAsia="zh-CN"/>
              </w:rPr>
              <w:t>善于搜索资料，旁征博引，找出典型事例丰富论证</w:t>
            </w:r>
          </w:p>
        </w:tc>
        <w:tc>
          <w:tcPr>
            <w:tcW w:w="1394" w:type="dxa"/>
          </w:tcPr>
          <w:p w14:paraId="5A4E57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能找出一部分事实依据，论述还算明了</w:t>
            </w:r>
          </w:p>
        </w:tc>
        <w:tc>
          <w:tcPr>
            <w:tcW w:w="1340" w:type="dxa"/>
          </w:tcPr>
          <w:p w14:paraId="612D41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需要指引才能史论结合，但论据单薄</w:t>
            </w:r>
          </w:p>
        </w:tc>
        <w:tc>
          <w:tcPr>
            <w:tcW w:w="1260" w:type="dxa"/>
          </w:tcPr>
          <w:p w14:paraId="5BA82D12">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只有观点陈述，不懂得运用史实佐证</w:t>
            </w:r>
          </w:p>
        </w:tc>
        <w:tc>
          <w:tcPr>
            <w:tcW w:w="746" w:type="dxa"/>
          </w:tcPr>
          <w:p w14:paraId="6EEE03CA">
            <w:pPr>
              <w:spacing w:line="360" w:lineRule="auto"/>
              <w:jc w:val="left"/>
              <w:rPr>
                <w:rFonts w:hint="eastAsia"/>
                <w:sz w:val="24"/>
                <w:szCs w:val="24"/>
                <w:vertAlign w:val="baseline"/>
                <w:lang w:val="en-US" w:eastAsia="zh-CN"/>
              </w:rPr>
            </w:pPr>
          </w:p>
        </w:tc>
      </w:tr>
      <w:tr w14:paraId="1DEB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7AE17F57">
            <w:pPr>
              <w:spacing w:line="360" w:lineRule="auto"/>
              <w:rPr>
                <w:rFonts w:hint="default"/>
                <w:sz w:val="24"/>
                <w:szCs w:val="24"/>
                <w:vertAlign w:val="baseline"/>
                <w:lang w:val="en-US" w:eastAsia="zh-CN"/>
              </w:rPr>
            </w:pPr>
            <w:r>
              <w:rPr>
                <w:rFonts w:hint="eastAsia"/>
                <w:b/>
                <w:bCs/>
                <w:sz w:val="24"/>
                <w:szCs w:val="24"/>
                <w:vertAlign w:val="baseline"/>
                <w:lang w:val="en-US" w:eastAsia="zh-CN"/>
              </w:rPr>
              <w:t>想象力</w:t>
            </w:r>
            <w:r>
              <w:rPr>
                <w:rFonts w:hint="eastAsia"/>
                <w:sz w:val="24"/>
                <w:szCs w:val="24"/>
                <w:vertAlign w:val="baseline"/>
                <w:lang w:val="en-US" w:eastAsia="zh-CN"/>
              </w:rPr>
              <w:t>：想象，产生新的想法或发明新的产品，独创性。</w:t>
            </w:r>
            <w:r>
              <w:rPr>
                <w:rFonts w:hint="eastAsia" w:ascii="楷体" w:hAnsi="楷体" w:eastAsia="楷体" w:cs="楷体"/>
                <w:sz w:val="24"/>
                <w:szCs w:val="24"/>
                <w:vertAlign w:val="baseline"/>
                <w:lang w:val="en-US" w:eastAsia="zh-CN"/>
              </w:rPr>
              <w:t>例：2050年的中国与世界是什么样？</w:t>
            </w:r>
          </w:p>
        </w:tc>
        <w:tc>
          <w:tcPr>
            <w:tcW w:w="1480" w:type="dxa"/>
          </w:tcPr>
          <w:p w14:paraId="79974B51">
            <w:pPr>
              <w:spacing w:line="360" w:lineRule="auto"/>
              <w:jc w:val="left"/>
              <w:rPr>
                <w:rFonts w:hint="default"/>
                <w:sz w:val="24"/>
                <w:szCs w:val="24"/>
                <w:vertAlign w:val="baseline"/>
                <w:lang w:val="en-US" w:eastAsia="zh-CN"/>
              </w:rPr>
            </w:pPr>
            <w:r>
              <w:rPr>
                <w:rFonts w:hint="eastAsia"/>
                <w:sz w:val="24"/>
                <w:szCs w:val="24"/>
                <w:vertAlign w:val="baseline"/>
                <w:lang w:val="en-US" w:eastAsia="zh-CN"/>
              </w:rPr>
              <w:t>展示出大胆、丰富又有一定根据的想象画面</w:t>
            </w:r>
          </w:p>
        </w:tc>
        <w:tc>
          <w:tcPr>
            <w:tcW w:w="1394" w:type="dxa"/>
          </w:tcPr>
          <w:p w14:paraId="6C62139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想象奇特但有些脱离实际</w:t>
            </w:r>
          </w:p>
        </w:tc>
        <w:tc>
          <w:tcPr>
            <w:tcW w:w="1340" w:type="dxa"/>
          </w:tcPr>
          <w:p w14:paraId="55A5CAED">
            <w:pPr>
              <w:spacing w:line="360" w:lineRule="auto"/>
              <w:jc w:val="left"/>
              <w:rPr>
                <w:rFonts w:hint="default"/>
                <w:sz w:val="24"/>
                <w:szCs w:val="24"/>
                <w:vertAlign w:val="baseline"/>
                <w:lang w:val="en-US" w:eastAsia="zh-CN"/>
              </w:rPr>
            </w:pPr>
            <w:r>
              <w:rPr>
                <w:rFonts w:hint="eastAsia"/>
                <w:sz w:val="24"/>
                <w:szCs w:val="24"/>
                <w:vertAlign w:val="baseline"/>
                <w:lang w:val="en-US" w:eastAsia="zh-CN"/>
              </w:rPr>
              <w:t>需要引导才能激发出一定想象的意识</w:t>
            </w:r>
          </w:p>
        </w:tc>
        <w:tc>
          <w:tcPr>
            <w:tcW w:w="1260" w:type="dxa"/>
          </w:tcPr>
          <w:p w14:paraId="61DDA4F3">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无法想象未来，找不到合适的词语描述未来</w:t>
            </w:r>
          </w:p>
        </w:tc>
        <w:tc>
          <w:tcPr>
            <w:tcW w:w="746" w:type="dxa"/>
          </w:tcPr>
          <w:p w14:paraId="0E406F9D">
            <w:pPr>
              <w:spacing w:line="360" w:lineRule="auto"/>
              <w:jc w:val="left"/>
              <w:rPr>
                <w:rFonts w:hint="eastAsia"/>
                <w:sz w:val="24"/>
                <w:szCs w:val="24"/>
                <w:vertAlign w:val="baseline"/>
                <w:lang w:val="en-US" w:eastAsia="zh-CN"/>
              </w:rPr>
            </w:pPr>
          </w:p>
        </w:tc>
      </w:tr>
      <w:tr w14:paraId="3AC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14:paraId="578A09E7">
            <w:pPr>
              <w:spacing w:line="360" w:lineRule="auto"/>
              <w:rPr>
                <w:rFonts w:hint="default"/>
                <w:sz w:val="24"/>
                <w:szCs w:val="24"/>
                <w:vertAlign w:val="baseline"/>
                <w:lang w:val="en-US" w:eastAsia="zh-CN"/>
              </w:rPr>
            </w:pPr>
            <w:r>
              <w:rPr>
                <w:rFonts w:hint="eastAsia"/>
                <w:b/>
                <w:bCs/>
                <w:sz w:val="24"/>
                <w:szCs w:val="24"/>
                <w:vertAlign w:val="baseline"/>
                <w:lang w:val="en-US" w:eastAsia="zh-CN"/>
              </w:rPr>
              <w:t>灵活性</w:t>
            </w:r>
            <w:r>
              <w:rPr>
                <w:rFonts w:hint="eastAsia"/>
                <w:sz w:val="24"/>
                <w:szCs w:val="24"/>
                <w:vertAlign w:val="baseline"/>
                <w:lang w:val="en-US" w:eastAsia="zh-CN"/>
              </w:rPr>
              <w:t>：展示出不同可能性的想法。</w:t>
            </w:r>
            <w:r>
              <w:rPr>
                <w:rFonts w:hint="eastAsia" w:ascii="楷体" w:hAnsi="楷体" w:eastAsia="楷体" w:cs="楷体"/>
                <w:sz w:val="24"/>
                <w:szCs w:val="24"/>
                <w:vertAlign w:val="baseline"/>
                <w:lang w:val="en-US" w:eastAsia="zh-CN"/>
              </w:rPr>
              <w:t>例：中国政府如何应对反全球化逆流？</w:t>
            </w:r>
          </w:p>
        </w:tc>
        <w:tc>
          <w:tcPr>
            <w:tcW w:w="1480" w:type="dxa"/>
          </w:tcPr>
          <w:p w14:paraId="3C39816B">
            <w:pPr>
              <w:spacing w:line="360" w:lineRule="auto"/>
              <w:jc w:val="left"/>
              <w:rPr>
                <w:rFonts w:hint="default"/>
                <w:sz w:val="24"/>
                <w:szCs w:val="24"/>
                <w:vertAlign w:val="baseline"/>
                <w:lang w:val="en-US" w:eastAsia="zh-CN"/>
              </w:rPr>
            </w:pPr>
            <w:r>
              <w:rPr>
                <w:rFonts w:hint="eastAsia"/>
                <w:sz w:val="24"/>
                <w:szCs w:val="24"/>
                <w:vertAlign w:val="baseline"/>
                <w:lang w:val="en-US" w:eastAsia="zh-CN"/>
              </w:rPr>
              <w:t>能很好地适应新情况，转变思路，走出新路</w:t>
            </w:r>
          </w:p>
        </w:tc>
        <w:tc>
          <w:tcPr>
            <w:tcW w:w="1394" w:type="dxa"/>
          </w:tcPr>
          <w:p w14:paraId="61A6FF34">
            <w:pPr>
              <w:spacing w:line="360" w:lineRule="auto"/>
              <w:jc w:val="left"/>
              <w:rPr>
                <w:rFonts w:hint="default"/>
                <w:sz w:val="24"/>
                <w:szCs w:val="24"/>
                <w:vertAlign w:val="baseline"/>
                <w:lang w:val="en-US" w:eastAsia="zh-CN"/>
              </w:rPr>
            </w:pPr>
            <w:r>
              <w:rPr>
                <w:rFonts w:hint="eastAsia"/>
                <w:sz w:val="24"/>
                <w:szCs w:val="24"/>
                <w:vertAlign w:val="baseline"/>
                <w:lang w:val="en-US" w:eastAsia="zh-CN"/>
              </w:rPr>
              <w:t>意识到新情况后，努力探索但未能给出令人信服的答案</w:t>
            </w:r>
          </w:p>
        </w:tc>
        <w:tc>
          <w:tcPr>
            <w:tcW w:w="1340" w:type="dxa"/>
          </w:tcPr>
          <w:p w14:paraId="3B1A13CE">
            <w:pPr>
              <w:spacing w:line="360" w:lineRule="auto"/>
              <w:rPr>
                <w:rFonts w:hint="default"/>
                <w:sz w:val="24"/>
                <w:szCs w:val="24"/>
                <w:vertAlign w:val="baseline"/>
                <w:lang w:val="en-US" w:eastAsia="zh-CN"/>
              </w:rPr>
            </w:pPr>
            <w:r>
              <w:rPr>
                <w:rFonts w:hint="eastAsia"/>
                <w:sz w:val="24"/>
                <w:szCs w:val="24"/>
                <w:vertAlign w:val="baseline"/>
                <w:lang w:val="en-US" w:eastAsia="zh-CN"/>
              </w:rPr>
              <w:t>需要点拨才能意识到问题情景的变化</w:t>
            </w:r>
          </w:p>
        </w:tc>
        <w:tc>
          <w:tcPr>
            <w:tcW w:w="1260" w:type="dxa"/>
          </w:tcPr>
          <w:p w14:paraId="16D70886">
            <w:pPr>
              <w:spacing w:line="360" w:lineRule="auto"/>
              <w:rPr>
                <w:rFonts w:hint="default"/>
                <w:sz w:val="24"/>
                <w:szCs w:val="24"/>
                <w:vertAlign w:val="baseline"/>
                <w:lang w:val="en-US" w:eastAsia="zh-CN"/>
              </w:rPr>
            </w:pPr>
            <w:r>
              <w:rPr>
                <w:rFonts w:hint="eastAsia"/>
                <w:sz w:val="24"/>
                <w:szCs w:val="24"/>
                <w:vertAlign w:val="baseline"/>
                <w:lang w:val="en-US" w:eastAsia="zh-CN"/>
              </w:rPr>
              <w:t>无法适应新情况，很难打破常规思考</w:t>
            </w:r>
          </w:p>
        </w:tc>
        <w:tc>
          <w:tcPr>
            <w:tcW w:w="746" w:type="dxa"/>
          </w:tcPr>
          <w:p w14:paraId="560A8E86">
            <w:pPr>
              <w:spacing w:line="360" w:lineRule="auto"/>
              <w:rPr>
                <w:rFonts w:hint="eastAsia"/>
                <w:sz w:val="24"/>
                <w:szCs w:val="24"/>
                <w:vertAlign w:val="baseline"/>
                <w:lang w:val="en-US" w:eastAsia="zh-CN"/>
              </w:rPr>
            </w:pPr>
          </w:p>
        </w:tc>
      </w:tr>
    </w:tbl>
    <w:p w14:paraId="527B9AD9">
      <w:pPr>
        <w:spacing w:line="360" w:lineRule="auto"/>
        <w:ind w:firstLine="480"/>
        <w:rPr>
          <w:rFonts w:hint="default"/>
          <w:sz w:val="24"/>
          <w:szCs w:val="24"/>
          <w:lang w:val="en-US" w:eastAsia="zh-CN"/>
        </w:rPr>
      </w:pPr>
      <w:r>
        <w:rPr>
          <w:rFonts w:hint="eastAsia"/>
          <w:sz w:val="24"/>
          <w:szCs w:val="24"/>
          <w:lang w:val="en-US" w:eastAsia="zh-CN"/>
        </w:rPr>
        <w:t>创造力的所有定义的共同之处在于原创性、独特性、想象力、灵活性、流畅性、联结性、形成新模式和个人表达。追问和好奇是创造性思维的核心。头脑风暴和问题解决能力被认为是创造力的基础能力。</w:t>
      </w:r>
      <w:r>
        <w:rPr>
          <w:rFonts w:hint="eastAsia"/>
          <w:sz w:val="24"/>
          <w:szCs w:val="24"/>
          <w:vertAlign w:val="superscript"/>
          <w:lang w:val="en-US" w:eastAsia="zh-CN"/>
        </w:rPr>
        <w:t>[5]</w:t>
      </w:r>
      <w:r>
        <w:rPr>
          <w:rFonts w:hint="eastAsia"/>
          <w:sz w:val="24"/>
          <w:szCs w:val="24"/>
          <w:lang w:val="en-US" w:eastAsia="zh-CN"/>
        </w:rPr>
        <w:t>创造力的这些特征为课堂应用和评价留下了很大的空间。实践证明，创造力是可教的、可学的以及可被评价的。</w:t>
      </w:r>
    </w:p>
    <w:p w14:paraId="6FF40589">
      <w:pPr>
        <w:spacing w:line="360" w:lineRule="auto"/>
        <w:ind w:firstLine="480"/>
        <w:jc w:val="center"/>
        <w:rPr>
          <w:rFonts w:hint="eastAsia"/>
          <w:b/>
          <w:bCs/>
          <w:sz w:val="24"/>
          <w:szCs w:val="24"/>
          <w:lang w:val="en-US" w:eastAsia="zh-CN"/>
        </w:rPr>
      </w:pPr>
      <w:r>
        <w:rPr>
          <w:rFonts w:hint="eastAsia"/>
          <w:b/>
          <w:bCs/>
          <w:sz w:val="24"/>
          <w:szCs w:val="24"/>
          <w:lang w:val="en-US" w:eastAsia="zh-CN"/>
        </w:rPr>
        <w:t>表5 沟通力评价量表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455"/>
        <w:gridCol w:w="1832"/>
        <w:gridCol w:w="1524"/>
        <w:gridCol w:w="1265"/>
        <w:gridCol w:w="749"/>
      </w:tblGrid>
      <w:tr w14:paraId="5F4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6665A960">
            <w:pPr>
              <w:spacing w:line="360" w:lineRule="auto"/>
              <w:jc w:val="left"/>
              <w:rPr>
                <w:rFonts w:hint="default"/>
                <w:sz w:val="24"/>
                <w:szCs w:val="24"/>
                <w:vertAlign w:val="baseline"/>
                <w:lang w:val="en-US" w:eastAsia="zh-CN"/>
              </w:rPr>
            </w:pPr>
            <w:r>
              <w:rPr>
                <w:rFonts w:hint="eastAsia"/>
                <w:b/>
                <w:bCs/>
                <w:sz w:val="24"/>
                <w:szCs w:val="24"/>
                <w:vertAlign w:val="baseline"/>
                <w:lang w:val="en-US" w:eastAsia="zh-CN"/>
              </w:rPr>
              <w:t>讨论：为什么说“构建人类命运共同体是世界各国人民前途所在”？</w:t>
            </w:r>
          </w:p>
        </w:tc>
      </w:tr>
      <w:tr w14:paraId="338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A2C8B0E">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标准</w:t>
            </w:r>
          </w:p>
        </w:tc>
        <w:tc>
          <w:tcPr>
            <w:tcW w:w="2455" w:type="dxa"/>
            <w:vAlign w:val="top"/>
          </w:tcPr>
          <w:p w14:paraId="52974A95">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4=典范</w:t>
            </w:r>
          </w:p>
        </w:tc>
        <w:tc>
          <w:tcPr>
            <w:tcW w:w="1832" w:type="dxa"/>
            <w:vAlign w:val="top"/>
          </w:tcPr>
          <w:p w14:paraId="39AF2DF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3=精通</w:t>
            </w:r>
          </w:p>
        </w:tc>
        <w:tc>
          <w:tcPr>
            <w:tcW w:w="1524" w:type="dxa"/>
            <w:vAlign w:val="top"/>
          </w:tcPr>
          <w:p w14:paraId="078CDEFB">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2=基础</w:t>
            </w:r>
          </w:p>
        </w:tc>
        <w:tc>
          <w:tcPr>
            <w:tcW w:w="1265" w:type="dxa"/>
            <w:vAlign w:val="top"/>
          </w:tcPr>
          <w:p w14:paraId="6E910854">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1=新手</w:t>
            </w:r>
          </w:p>
        </w:tc>
        <w:tc>
          <w:tcPr>
            <w:tcW w:w="749" w:type="dxa"/>
            <w:vAlign w:val="top"/>
          </w:tcPr>
          <w:p w14:paraId="64B3B5BA">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分数</w:t>
            </w:r>
          </w:p>
        </w:tc>
      </w:tr>
      <w:tr w14:paraId="33ED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6E4833D">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言语沟通</w:t>
            </w:r>
          </w:p>
        </w:tc>
        <w:tc>
          <w:tcPr>
            <w:tcW w:w="2455" w:type="dxa"/>
          </w:tcPr>
          <w:p w14:paraId="6CC7A720">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识别并使用多种类型的言语沟通方式，如对话、辩论和说服等</w:t>
            </w:r>
          </w:p>
        </w:tc>
        <w:tc>
          <w:tcPr>
            <w:tcW w:w="1832" w:type="dxa"/>
          </w:tcPr>
          <w:p w14:paraId="1CD3A40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识别并使用两种类型的言语沟通方式</w:t>
            </w:r>
          </w:p>
        </w:tc>
        <w:tc>
          <w:tcPr>
            <w:tcW w:w="1524" w:type="dxa"/>
          </w:tcPr>
          <w:p w14:paraId="195304C7">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识别并使用一种类型的言语沟通方式</w:t>
            </w:r>
          </w:p>
        </w:tc>
        <w:tc>
          <w:tcPr>
            <w:tcW w:w="1265" w:type="dxa"/>
          </w:tcPr>
          <w:p w14:paraId="0CF2715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无法识别或使用言语沟通方式</w:t>
            </w:r>
          </w:p>
        </w:tc>
        <w:tc>
          <w:tcPr>
            <w:tcW w:w="749" w:type="dxa"/>
          </w:tcPr>
          <w:p w14:paraId="37DC53FC">
            <w:pPr>
              <w:spacing w:line="360" w:lineRule="auto"/>
              <w:jc w:val="center"/>
              <w:rPr>
                <w:rFonts w:hint="eastAsia"/>
                <w:sz w:val="24"/>
                <w:szCs w:val="24"/>
                <w:vertAlign w:val="baseline"/>
                <w:lang w:val="en-US" w:eastAsia="zh-CN"/>
              </w:rPr>
            </w:pPr>
          </w:p>
        </w:tc>
      </w:tr>
      <w:tr w14:paraId="03D9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CC6C0C8">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书面沟通</w:t>
            </w:r>
          </w:p>
        </w:tc>
        <w:tc>
          <w:tcPr>
            <w:tcW w:w="2455" w:type="dxa"/>
          </w:tcPr>
          <w:p w14:paraId="055376A1">
            <w:pPr>
              <w:spacing w:line="360" w:lineRule="auto"/>
              <w:jc w:val="left"/>
              <w:rPr>
                <w:rFonts w:hint="default"/>
                <w:sz w:val="24"/>
                <w:szCs w:val="24"/>
                <w:vertAlign w:val="baseline"/>
                <w:lang w:val="en-US" w:eastAsia="zh-CN"/>
              </w:rPr>
            </w:pPr>
            <w:r>
              <w:rPr>
                <w:rFonts w:hint="eastAsia"/>
                <w:sz w:val="24"/>
                <w:szCs w:val="24"/>
                <w:vertAlign w:val="baseline"/>
                <w:lang w:val="en-US" w:eastAsia="zh-CN"/>
              </w:rPr>
              <w:t>识别并使用多种类型的书面沟通方式，如邮件、信函和报告等</w:t>
            </w:r>
          </w:p>
        </w:tc>
        <w:tc>
          <w:tcPr>
            <w:tcW w:w="1832" w:type="dxa"/>
          </w:tcPr>
          <w:p w14:paraId="07F8E91D">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识别并使用两种类型的书面沟通方式</w:t>
            </w:r>
          </w:p>
        </w:tc>
        <w:tc>
          <w:tcPr>
            <w:tcW w:w="1524" w:type="dxa"/>
          </w:tcPr>
          <w:p w14:paraId="070D1EA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识别并使用一种类型的书面沟通方式</w:t>
            </w:r>
          </w:p>
        </w:tc>
        <w:tc>
          <w:tcPr>
            <w:tcW w:w="1265" w:type="dxa"/>
          </w:tcPr>
          <w:p w14:paraId="1CC40D22">
            <w:pPr>
              <w:spacing w:line="360" w:lineRule="auto"/>
              <w:jc w:val="left"/>
              <w:rPr>
                <w:rFonts w:hint="default"/>
                <w:sz w:val="24"/>
                <w:szCs w:val="24"/>
                <w:vertAlign w:val="baseline"/>
                <w:lang w:val="en-US" w:eastAsia="zh-CN"/>
              </w:rPr>
            </w:pPr>
            <w:r>
              <w:rPr>
                <w:rFonts w:hint="eastAsia"/>
                <w:sz w:val="24"/>
                <w:szCs w:val="24"/>
                <w:vertAlign w:val="baseline"/>
                <w:lang w:val="en-US" w:eastAsia="zh-CN"/>
              </w:rPr>
              <w:t>无法识别或使用书面沟通方式</w:t>
            </w:r>
          </w:p>
        </w:tc>
        <w:tc>
          <w:tcPr>
            <w:tcW w:w="749" w:type="dxa"/>
          </w:tcPr>
          <w:p w14:paraId="76A56760">
            <w:pPr>
              <w:spacing w:line="360" w:lineRule="auto"/>
              <w:jc w:val="center"/>
              <w:rPr>
                <w:rFonts w:hint="eastAsia"/>
                <w:sz w:val="24"/>
                <w:szCs w:val="24"/>
                <w:vertAlign w:val="baseline"/>
                <w:lang w:val="en-US" w:eastAsia="zh-CN"/>
              </w:rPr>
            </w:pPr>
          </w:p>
        </w:tc>
      </w:tr>
      <w:tr w14:paraId="731D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6E743D4">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沟通技巧</w:t>
            </w:r>
          </w:p>
        </w:tc>
        <w:tc>
          <w:tcPr>
            <w:tcW w:w="2455" w:type="dxa"/>
            <w:vAlign w:val="top"/>
          </w:tcPr>
          <w:p w14:paraId="4ED607B2">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展示多种沟通技巧：如集中注意力、反思性聆听、建设性对话</w:t>
            </w:r>
          </w:p>
        </w:tc>
        <w:tc>
          <w:tcPr>
            <w:tcW w:w="1832" w:type="dxa"/>
            <w:vAlign w:val="top"/>
          </w:tcPr>
          <w:p w14:paraId="7753B31E">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展示两种沟通技巧</w:t>
            </w:r>
          </w:p>
        </w:tc>
        <w:tc>
          <w:tcPr>
            <w:tcW w:w="1524" w:type="dxa"/>
            <w:vAlign w:val="top"/>
          </w:tcPr>
          <w:p w14:paraId="724BD098">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只能运用一种沟通技巧</w:t>
            </w:r>
          </w:p>
        </w:tc>
        <w:tc>
          <w:tcPr>
            <w:tcW w:w="1265" w:type="dxa"/>
            <w:vAlign w:val="top"/>
          </w:tcPr>
          <w:p w14:paraId="7306B383">
            <w:pPr>
              <w:spacing w:line="360" w:lineRule="auto"/>
              <w:jc w:val="left"/>
              <w:rPr>
                <w:rFonts w:hint="eastAsia"/>
                <w:sz w:val="24"/>
                <w:szCs w:val="24"/>
                <w:vertAlign w:val="baseline"/>
                <w:lang w:val="en-US" w:eastAsia="zh-CN"/>
              </w:rPr>
            </w:pPr>
            <w:r>
              <w:rPr>
                <w:rFonts w:hint="eastAsia"/>
                <w:sz w:val="24"/>
                <w:szCs w:val="24"/>
                <w:vertAlign w:val="baseline"/>
                <w:lang w:val="en-US" w:eastAsia="zh-CN"/>
              </w:rPr>
              <w:t>不懂得沟通技巧</w:t>
            </w:r>
          </w:p>
        </w:tc>
        <w:tc>
          <w:tcPr>
            <w:tcW w:w="749" w:type="dxa"/>
            <w:vAlign w:val="top"/>
          </w:tcPr>
          <w:p w14:paraId="409893EE">
            <w:pPr>
              <w:spacing w:line="360" w:lineRule="auto"/>
              <w:jc w:val="center"/>
              <w:rPr>
                <w:rFonts w:hint="eastAsia"/>
                <w:sz w:val="24"/>
                <w:szCs w:val="24"/>
                <w:vertAlign w:val="baseline"/>
                <w:lang w:val="en-US" w:eastAsia="zh-CN"/>
              </w:rPr>
            </w:pPr>
          </w:p>
        </w:tc>
      </w:tr>
      <w:tr w14:paraId="5129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C43437">
            <w:pPr>
              <w:spacing w:line="360" w:lineRule="auto"/>
              <w:jc w:val="left"/>
              <w:rPr>
                <w:rFonts w:hint="default"/>
                <w:sz w:val="24"/>
                <w:szCs w:val="24"/>
                <w:vertAlign w:val="baseline"/>
                <w:lang w:val="en-US" w:eastAsia="zh-CN"/>
              </w:rPr>
            </w:pPr>
            <w:r>
              <w:rPr>
                <w:rFonts w:hint="eastAsia"/>
                <w:sz w:val="24"/>
                <w:szCs w:val="24"/>
                <w:vertAlign w:val="baseline"/>
                <w:lang w:val="en-US" w:eastAsia="zh-CN"/>
              </w:rPr>
              <w:t>信息整合与分享</w:t>
            </w:r>
          </w:p>
        </w:tc>
        <w:tc>
          <w:tcPr>
            <w:tcW w:w="2455" w:type="dxa"/>
          </w:tcPr>
          <w:p w14:paraId="05D12D5F">
            <w:pPr>
              <w:spacing w:line="360" w:lineRule="auto"/>
              <w:jc w:val="left"/>
              <w:rPr>
                <w:rFonts w:hint="default"/>
                <w:sz w:val="24"/>
                <w:szCs w:val="24"/>
                <w:vertAlign w:val="baseline"/>
                <w:lang w:val="en-US" w:eastAsia="zh-CN"/>
              </w:rPr>
            </w:pPr>
            <w:r>
              <w:rPr>
                <w:rFonts w:hint="eastAsia"/>
                <w:sz w:val="24"/>
                <w:szCs w:val="24"/>
                <w:vertAlign w:val="baseline"/>
                <w:lang w:val="en-US" w:eastAsia="zh-CN"/>
              </w:rPr>
              <w:t>整合和评价以多种媒介形式（如言语、数据、术语、数字技术等）呈现的信息</w:t>
            </w:r>
          </w:p>
        </w:tc>
        <w:tc>
          <w:tcPr>
            <w:tcW w:w="1832" w:type="dxa"/>
          </w:tcPr>
          <w:p w14:paraId="7285D984">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整合和评价至少两种媒介形式呈现的信息</w:t>
            </w:r>
          </w:p>
        </w:tc>
        <w:tc>
          <w:tcPr>
            <w:tcW w:w="1524" w:type="dxa"/>
          </w:tcPr>
          <w:p w14:paraId="2D105976">
            <w:pPr>
              <w:spacing w:line="360" w:lineRule="auto"/>
              <w:jc w:val="left"/>
              <w:rPr>
                <w:rFonts w:hint="default"/>
                <w:sz w:val="24"/>
                <w:szCs w:val="24"/>
                <w:vertAlign w:val="baseline"/>
                <w:lang w:val="en-US" w:eastAsia="zh-CN"/>
              </w:rPr>
            </w:pPr>
            <w:r>
              <w:rPr>
                <w:rFonts w:hint="eastAsia"/>
                <w:sz w:val="24"/>
                <w:szCs w:val="24"/>
                <w:vertAlign w:val="baseline"/>
                <w:lang w:val="en-US" w:eastAsia="zh-CN"/>
              </w:rPr>
              <w:t>只能对一种媒介形式呈现的信息加以整合或评价</w:t>
            </w:r>
          </w:p>
        </w:tc>
        <w:tc>
          <w:tcPr>
            <w:tcW w:w="1265" w:type="dxa"/>
          </w:tcPr>
          <w:p w14:paraId="6B553C01">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不懂得整合或评价任何媒介形式呈现的信息</w:t>
            </w:r>
          </w:p>
        </w:tc>
        <w:tc>
          <w:tcPr>
            <w:tcW w:w="749" w:type="dxa"/>
          </w:tcPr>
          <w:p w14:paraId="51E0BB5E">
            <w:pPr>
              <w:spacing w:line="360" w:lineRule="auto"/>
              <w:jc w:val="center"/>
              <w:rPr>
                <w:rFonts w:hint="eastAsia"/>
                <w:sz w:val="24"/>
                <w:szCs w:val="24"/>
                <w:vertAlign w:val="baseline"/>
                <w:lang w:val="en-US" w:eastAsia="zh-CN"/>
              </w:rPr>
            </w:pPr>
          </w:p>
        </w:tc>
      </w:tr>
    </w:tbl>
    <w:p w14:paraId="68696498">
      <w:pPr>
        <w:spacing w:line="360" w:lineRule="auto"/>
        <w:ind w:firstLine="480" w:firstLineChars="200"/>
        <w:jc w:val="left"/>
        <w:rPr>
          <w:rFonts w:hint="eastAsia"/>
          <w:sz w:val="24"/>
          <w:szCs w:val="24"/>
          <w:lang w:val="en-US" w:eastAsia="zh-CN"/>
        </w:rPr>
      </w:pPr>
      <w:r>
        <w:rPr>
          <w:rFonts w:hint="eastAsia"/>
          <w:sz w:val="24"/>
          <w:szCs w:val="24"/>
          <w:lang w:val="en-US" w:eastAsia="zh-CN"/>
        </w:rPr>
        <w:t>通过沟通和合作，思维能力才能转化为行为，并通过学习工具来加以提高。沟通需要运用多种21世纪能力：分析、评价、问题解决、元认知、合作和技术。</w:t>
      </w:r>
      <w:r>
        <w:rPr>
          <w:rFonts w:hint="eastAsia"/>
          <w:b w:val="0"/>
          <w:bCs w:val="0"/>
          <w:sz w:val="24"/>
          <w:szCs w:val="24"/>
          <w:vertAlign w:val="superscript"/>
          <w:lang w:val="en-US" w:eastAsia="zh-CN"/>
        </w:rPr>
        <w:t>[6]</w:t>
      </w:r>
      <w:r>
        <w:rPr>
          <w:rFonts w:hint="eastAsia"/>
          <w:sz w:val="24"/>
          <w:szCs w:val="24"/>
          <w:lang w:val="en-US" w:eastAsia="zh-CN"/>
        </w:rPr>
        <w:t>其目标是让学生运用语言传递信息和解决问题。就</w:t>
      </w:r>
      <w:r>
        <w:rPr>
          <w:rFonts w:hint="default"/>
          <w:sz w:val="24"/>
          <w:szCs w:val="24"/>
          <w:lang w:val="en-US" w:eastAsia="zh-CN"/>
        </w:rPr>
        <w:t>《潮流》</w:t>
      </w:r>
      <w:r>
        <w:rPr>
          <w:rFonts w:hint="eastAsia"/>
          <w:sz w:val="24"/>
          <w:szCs w:val="24"/>
          <w:lang w:val="en-US" w:eastAsia="zh-CN"/>
        </w:rPr>
        <w:t>一课而言，最终要让学生理解：生活在全球化的今天，所有人的幸福都变得如此联系紧密、相互依存，以至于当地球村的其他人群生活在苦难中时，任何个人、组织或国家都无法继续繁荣地生活。建立这种共识是构建人类命运共同体的前提。建立共识不可能通过灌输达成，只能在沟通中实现，而合作的发生又是以有效沟通的能力为基础。在这一教学过程中，学生将更热爱中华文化，因为中华文化讲仁爱、守诚信、尚和合、求大同；将更由衷地认同中国共产党和中国特色社会主义道路，因为人类命运共同体理念的提出与践行都离不开中国共产党的正确领导，离不开社会主义的发展。20世纪的社会主义运动和探索，本质上就是“人类命运共同体”应用于人类发展实践的艰苦尝试。</w:t>
      </w:r>
      <w:r>
        <w:rPr>
          <w:rFonts w:hint="eastAsia"/>
          <w:sz w:val="24"/>
          <w:szCs w:val="24"/>
          <w:vertAlign w:val="superscript"/>
          <w:lang w:val="en-US" w:eastAsia="zh-CN"/>
        </w:rPr>
        <w:t>[7]</w:t>
      </w:r>
    </w:p>
    <w:p w14:paraId="10CA01F1">
      <w:pPr>
        <w:spacing w:line="360" w:lineRule="auto"/>
        <w:ind w:firstLine="482" w:firstLineChars="200"/>
        <w:jc w:val="center"/>
        <w:rPr>
          <w:rFonts w:hint="eastAsia"/>
          <w:b/>
          <w:bCs/>
          <w:sz w:val="24"/>
          <w:szCs w:val="24"/>
          <w:lang w:val="en-US" w:eastAsia="zh-CN"/>
        </w:rPr>
      </w:pPr>
      <w:r>
        <w:rPr>
          <w:rFonts w:hint="eastAsia"/>
          <w:b/>
          <w:bCs/>
          <w:sz w:val="24"/>
          <w:szCs w:val="24"/>
          <w:lang w:val="en-US" w:eastAsia="zh-CN"/>
        </w:rPr>
        <w:t>表6 元认知反思评价量表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9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585A99">
            <w:pPr>
              <w:numPr>
                <w:ilvl w:val="0"/>
                <w:numId w:val="2"/>
              </w:numPr>
              <w:spacing w:line="360" w:lineRule="auto"/>
              <w:rPr>
                <w:rFonts w:hint="default"/>
                <w:sz w:val="24"/>
                <w:szCs w:val="24"/>
                <w:vertAlign w:val="baseline"/>
                <w:lang w:val="en-US" w:eastAsia="zh-CN"/>
              </w:rPr>
            </w:pPr>
            <w:r>
              <w:rPr>
                <w:rFonts w:hint="eastAsia"/>
                <w:sz w:val="24"/>
                <w:szCs w:val="24"/>
                <w:vertAlign w:val="baseline"/>
                <w:lang w:val="en-US" w:eastAsia="zh-CN"/>
              </w:rPr>
              <w:t>课前：a.你对当今世界的时代主题了解多少？b.你是从哪些途径了解的？c.如果要写一篇关于当今世界时代主题的小论文，你决定从哪里入手？第一步做什么？为什么这样做？</w:t>
            </w:r>
          </w:p>
        </w:tc>
      </w:tr>
      <w:tr w14:paraId="38B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C756D5">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中：a.你认为本课的重难点是什么？为什么？b.你认为教材这一课提供的文本叙述、学习聚焦、思考点、图片、问题探究和学习拓展有什么价值？c.你认为老师的授课对你理解哪些问题发挥了作用？d.你还有哪些困惑？</w:t>
            </w:r>
          </w:p>
        </w:tc>
      </w:tr>
      <w:tr w14:paraId="7425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25301C">
            <w:pPr>
              <w:numPr>
                <w:ilvl w:val="0"/>
                <w:numId w:val="2"/>
              </w:numPr>
              <w:spacing w:line="360" w:lineRule="auto"/>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课后：a.你认为自己是否达到了本课学习目标？为什么？b.如果由你来授课，你会怎样指导同学学习？c.你对自己的课堂表现如何评价？d.你还产生了哪些新想法？</w:t>
            </w:r>
          </w:p>
        </w:tc>
      </w:tr>
    </w:tbl>
    <w:p w14:paraId="10863303">
      <w:pPr>
        <w:spacing w:line="360" w:lineRule="auto"/>
        <w:ind w:firstLine="480"/>
        <w:rPr>
          <w:rFonts w:hint="eastAsia"/>
          <w:sz w:val="24"/>
          <w:szCs w:val="24"/>
          <w:lang w:val="en-US" w:eastAsia="zh-CN"/>
        </w:rPr>
      </w:pPr>
      <w:r>
        <w:rPr>
          <w:rFonts w:hint="eastAsia"/>
          <w:sz w:val="24"/>
          <w:szCs w:val="24"/>
          <w:lang w:val="en-US" w:eastAsia="zh-CN"/>
        </w:rPr>
        <w:t>元认知即“对思考的思考”。教师需要让学生对他们将要获得的知识和能力进行思考，写出他们知道什么以及想知道什么，理解自己是如何思考的，并意识到他们可以监督和管理自己的思维与行动。虽然课堂时间有限，内容处于优先地位，但仍有必要让学生在学习各个阶段花几分钟来记录自己的思维过程。一张贯穿课前、课中和课后的元认识反思评价量表能促进学生对思维过程有更好的理解。学生的反思能够为教师调整教学策略和搭建“脚手架”提供反馈。这种练习既是为了帮助学生提升他们的思考策略与推理能力，也是为了使教师更加了解学生，以便更好地培养其元认知能力。</w:t>
      </w:r>
    </w:p>
    <w:p w14:paraId="1F5156AF">
      <w:pPr>
        <w:numPr>
          <w:ilvl w:val="0"/>
          <w:numId w:val="1"/>
        </w:numPr>
        <w:spacing w:line="360" w:lineRule="auto"/>
        <w:ind w:firstLine="480"/>
        <w:jc w:val="center"/>
        <w:rPr>
          <w:rFonts w:hint="default"/>
          <w:b/>
          <w:bCs/>
          <w:sz w:val="24"/>
          <w:szCs w:val="24"/>
          <w:lang w:val="en-US" w:eastAsia="zh-CN"/>
        </w:rPr>
      </w:pPr>
      <w:r>
        <w:rPr>
          <w:rFonts w:hint="eastAsia"/>
          <w:b/>
          <w:bCs/>
          <w:sz w:val="24"/>
          <w:szCs w:val="24"/>
          <w:lang w:val="en-US" w:eastAsia="zh-CN"/>
        </w:rPr>
        <w:t>结语</w:t>
      </w:r>
    </w:p>
    <w:p w14:paraId="3C928553">
      <w:pPr>
        <w:spacing w:line="360" w:lineRule="auto"/>
        <w:ind w:firstLine="480" w:firstLineChars="200"/>
        <w:rPr>
          <w:rFonts w:hint="eastAsia"/>
          <w:sz w:val="24"/>
          <w:szCs w:val="24"/>
          <w:lang w:val="en-US" w:eastAsia="zh-CN"/>
        </w:rPr>
      </w:pPr>
      <w:r>
        <w:rPr>
          <w:rFonts w:hint="eastAsia"/>
          <w:sz w:val="24"/>
          <w:szCs w:val="24"/>
          <w:lang w:val="en-US" w:eastAsia="zh-CN"/>
        </w:rPr>
        <w:t>思维能力，是以解决问题的过程为中心进行研究，重视一系列相互联系的思考中的逻辑。</w:t>
      </w:r>
      <w:r>
        <w:rPr>
          <w:rFonts w:hint="eastAsia"/>
          <w:sz w:val="24"/>
          <w:szCs w:val="24"/>
          <w:vertAlign w:val="superscript"/>
          <w:lang w:val="en-US" w:eastAsia="zh-CN"/>
        </w:rPr>
        <w:t>[8]</w:t>
      </w:r>
      <w:r>
        <w:rPr>
          <w:rFonts w:hint="eastAsia"/>
          <w:sz w:val="24"/>
          <w:szCs w:val="24"/>
          <w:lang w:val="en-US" w:eastAsia="zh-CN"/>
        </w:rPr>
        <w:t>高阶思维能力评价量表则有助于学生评估自己的思维质量以及对于关键问题、核心概念的理解程度。因为如果学生不知道如何评估自己的学习成果，就很难说他学好了这门课。在完成了自我评估（即我学得怎样）训练后，教师还可提高要求，让学生设计评价量表对教科书编者的逻辑（包括关键问题、史料、推论和阐释、概念和观点、视角、结果和影响等因素的有机组合）进行评估，从而进一步理解教科书的思想体系，并实现学徒思维向专家思维的跨越。总之，制作高阶思维能力评价量表有助于师生聚焦核心问题探讨，激发进阶思考的热情和能力，也为经典版布卢姆认知目标分类学的运用提供了辅助工具。在这一过程中，学生通过认识历史提高了自身的认识能力，领悟了现实与未来的动向，把握了历史发展的普遍规律，做出了正确的价值判断并选择了恰当的对策去行动，从而为改造我们周围的世界作出贡献。</w:t>
      </w:r>
    </w:p>
    <w:p w14:paraId="77B36240">
      <w:pPr>
        <w:spacing w:line="360" w:lineRule="auto"/>
        <w:ind w:firstLine="480" w:firstLineChars="200"/>
        <w:rPr>
          <w:rFonts w:hint="eastAsia"/>
          <w:sz w:val="24"/>
          <w:szCs w:val="24"/>
          <w:lang w:val="en-US" w:eastAsia="zh-CN"/>
        </w:rPr>
      </w:pPr>
    </w:p>
    <w:p w14:paraId="55D04EF8">
      <w:pPr>
        <w:spacing w:line="360" w:lineRule="auto"/>
        <w:ind w:firstLine="480" w:firstLineChars="200"/>
        <w:rPr>
          <w:rFonts w:hint="eastAsia"/>
          <w:sz w:val="24"/>
          <w:szCs w:val="24"/>
          <w:lang w:val="en-US" w:eastAsia="zh-CN"/>
        </w:rPr>
      </w:pPr>
    </w:p>
    <w:p w14:paraId="71EF0D2D">
      <w:pPr>
        <w:spacing w:line="360" w:lineRule="auto"/>
        <w:rPr>
          <w:rFonts w:hint="default"/>
          <w:b/>
          <w:bCs/>
          <w:sz w:val="24"/>
          <w:szCs w:val="24"/>
          <w:lang w:val="en-US" w:eastAsia="zh-CN"/>
        </w:rPr>
      </w:pPr>
      <w:r>
        <w:rPr>
          <w:rFonts w:hint="eastAsia"/>
          <w:b/>
          <w:bCs/>
          <w:sz w:val="24"/>
          <w:szCs w:val="24"/>
          <w:lang w:val="en-US" w:eastAsia="zh-CN"/>
        </w:rPr>
        <w:t>【注释】</w:t>
      </w:r>
    </w:p>
    <w:p w14:paraId="0AC0974C">
      <w:pPr>
        <w:pStyle w:val="2"/>
        <w:snapToGrid w:val="0"/>
        <w:ind w:firstLine="210" w:firstLineChars="100"/>
        <w:rPr>
          <w:rFonts w:hint="default" w:eastAsiaTheme="minorEastAsia"/>
          <w:lang w:val="en-US" w:eastAsia="zh-CN"/>
        </w:rPr>
      </w:pPr>
      <w:r>
        <w:rPr>
          <w:rFonts w:hint="eastAsia"/>
          <w:lang w:val="en-US" w:eastAsia="zh-CN"/>
        </w:rPr>
        <w:t>[1]邓莉：《如何在教学上落实21世纪技能：探究性学习及其反思和启示》，《教育发展研究》，2017（8）：77-84页。</w:t>
      </w:r>
    </w:p>
    <w:p w14:paraId="2A3B5DAC">
      <w:pPr>
        <w:pStyle w:val="2"/>
        <w:snapToGrid w:val="0"/>
        <w:ind w:firstLine="210" w:firstLineChars="100"/>
        <w:rPr>
          <w:rFonts w:hint="default"/>
          <w:lang w:val="en-US" w:eastAsia="zh-CN"/>
        </w:rPr>
      </w:pPr>
      <w:r>
        <w:rPr>
          <w:rFonts w:hint="eastAsia"/>
          <w:lang w:val="en-US" w:eastAsia="zh-CN"/>
        </w:rPr>
        <w:t>[2]（美）安德森等编著：《学习、教学和评估的分类学》，上海：华东师范大学出版社，2007年，第28页。</w:t>
      </w:r>
    </w:p>
    <w:p w14:paraId="2E2FD477">
      <w:pPr>
        <w:pStyle w:val="2"/>
        <w:snapToGrid w:val="0"/>
        <w:ind w:firstLine="210" w:firstLineChars="100"/>
        <w:rPr>
          <w:rFonts w:hint="eastAsia"/>
          <w:lang w:val="en-US" w:eastAsia="zh-CN"/>
        </w:rPr>
      </w:pPr>
      <w:r>
        <w:rPr>
          <w:rFonts w:hint="eastAsia"/>
          <w:lang w:val="en-US" w:eastAsia="zh-CN"/>
        </w:rPr>
        <w:t>[3][4][5][6]</w:t>
      </w:r>
      <w:r>
        <w:rPr>
          <w:rFonts w:hint="eastAsia"/>
          <w:lang w:eastAsia="zh-CN"/>
        </w:rPr>
        <w:t>（</w:t>
      </w:r>
      <w:r>
        <w:rPr>
          <w:rFonts w:hint="eastAsia"/>
          <w:lang w:val="en-US" w:eastAsia="zh-CN"/>
        </w:rPr>
        <w:t>美）劳拉</w:t>
      </w:r>
      <w:r>
        <w:rPr>
          <w:rFonts w:hint="eastAsia" w:ascii="楷体" w:hAnsi="楷体" w:eastAsia="楷体" w:cs="楷体"/>
          <w:lang w:val="en-US" w:eastAsia="zh-CN"/>
        </w:rPr>
        <w:t>·</w:t>
      </w:r>
      <w:r>
        <w:rPr>
          <w:rFonts w:hint="eastAsia"/>
          <w:lang w:val="en-US" w:eastAsia="zh-CN"/>
        </w:rPr>
        <w:t>格林斯坦：《评价21世纪能力：掌握学习和真实性学习评价指南》，上海：上海教育出版社，2020年，第74、81、86、107-108页。</w:t>
      </w:r>
    </w:p>
    <w:p w14:paraId="1F24F1E5">
      <w:pPr>
        <w:pStyle w:val="2"/>
        <w:snapToGrid w:val="0"/>
        <w:ind w:firstLine="210" w:firstLineChars="100"/>
        <w:rPr>
          <w:rFonts w:hint="default"/>
          <w:lang w:val="en-US" w:eastAsia="zh-CN"/>
        </w:rPr>
      </w:pPr>
      <w:r>
        <w:rPr>
          <w:rFonts w:hint="eastAsia"/>
          <w:lang w:val="en-US" w:eastAsia="zh-CN"/>
        </w:rPr>
        <w:t>[7]张庆海主编：《家国情怀的教学设计与学业评价》，广州：广东高等教育出版社，2020年，第18页。</w:t>
      </w:r>
    </w:p>
    <w:p w14:paraId="231C05B2">
      <w:pPr>
        <w:pStyle w:val="2"/>
        <w:snapToGrid w:val="0"/>
        <w:ind w:firstLine="210" w:firstLineChars="100"/>
        <w:rPr>
          <w:rFonts w:hint="default" w:eastAsiaTheme="minorEastAsia"/>
          <w:lang w:val="en-US" w:eastAsia="zh-CN"/>
        </w:rPr>
      </w:pPr>
      <w:r>
        <w:rPr>
          <w:rFonts w:hint="eastAsia"/>
          <w:lang w:val="en-US" w:eastAsia="zh-CN"/>
        </w:rPr>
        <w:t>[8]林崇德主编：《21世纪学生发展核心素养研究》，北京：北京师范大学出版社，2016年，第252页。</w:t>
      </w:r>
    </w:p>
    <w:p w14:paraId="7826E8ED">
      <w:pPr>
        <w:spacing w:line="360" w:lineRule="auto"/>
        <w:rPr>
          <w:rFonts w:hint="default"/>
          <w:b/>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3256">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9EE5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9EE5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8C6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06C49"/>
    <w:multiLevelType w:val="singleLevel"/>
    <w:tmpl w:val="8EA06C49"/>
    <w:lvl w:ilvl="0" w:tentative="0">
      <w:start w:val="1"/>
      <w:numFmt w:val="decimal"/>
      <w:lvlText w:val="%1."/>
      <w:lvlJc w:val="left"/>
      <w:pPr>
        <w:tabs>
          <w:tab w:val="left" w:pos="312"/>
        </w:tabs>
      </w:pPr>
    </w:lvl>
  </w:abstractNum>
  <w:abstractNum w:abstractNumId="1">
    <w:nsid w:val="0DEFE89A"/>
    <w:multiLevelType w:val="singleLevel"/>
    <w:tmpl w:val="0DEFE8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MWE1NjY0NDQ1NzY1ZGVlMmNkOThlNWVhMzYzZTEifQ=="/>
    <w:docVar w:name="ksoschemedata" w:val="ad7b3ea5-140d-4ebb-8fd1-72c0843c1ffc"/>
  </w:docVars>
  <w:rsids>
    <w:rsidRoot w:val="1A091569"/>
    <w:rsid w:val="029307AF"/>
    <w:rsid w:val="046C5833"/>
    <w:rsid w:val="070447AB"/>
    <w:rsid w:val="083E2F6B"/>
    <w:rsid w:val="0B5417D8"/>
    <w:rsid w:val="0FBA55CD"/>
    <w:rsid w:val="13734681"/>
    <w:rsid w:val="13C241B6"/>
    <w:rsid w:val="18365A0D"/>
    <w:rsid w:val="19C534ED"/>
    <w:rsid w:val="1A091569"/>
    <w:rsid w:val="23B03B6A"/>
    <w:rsid w:val="24CA19B7"/>
    <w:rsid w:val="28F6721F"/>
    <w:rsid w:val="32700042"/>
    <w:rsid w:val="377E2C3F"/>
    <w:rsid w:val="3E512C43"/>
    <w:rsid w:val="42763D9D"/>
    <w:rsid w:val="4E4E6D31"/>
    <w:rsid w:val="4EAC6020"/>
    <w:rsid w:val="4F391364"/>
    <w:rsid w:val="551718FA"/>
    <w:rsid w:val="57C6274A"/>
    <w:rsid w:val="58D1420B"/>
    <w:rsid w:val="59723D50"/>
    <w:rsid w:val="5DFC330E"/>
    <w:rsid w:val="5E9C71C5"/>
    <w:rsid w:val="6204625D"/>
    <w:rsid w:val="624A3B5C"/>
    <w:rsid w:val="63F7561D"/>
    <w:rsid w:val="654F3743"/>
    <w:rsid w:val="6A9A4F55"/>
    <w:rsid w:val="6ACF7B6C"/>
    <w:rsid w:val="6E555C92"/>
    <w:rsid w:val="6ED62C2E"/>
    <w:rsid w:val="7528245B"/>
    <w:rsid w:val="754547CA"/>
    <w:rsid w:val="75742F72"/>
    <w:rsid w:val="783759AF"/>
    <w:rsid w:val="78D84CA7"/>
    <w:rsid w:val="7B672C31"/>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ndnote reference"/>
    <w:basedOn w:val="7"/>
    <w:autoRedefine/>
    <w:qFormat/>
    <w:uiPriority w:val="0"/>
    <w:rPr>
      <w:vertAlign w:val="superscript"/>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1931</Words>
  <Characters>1998</Characters>
  <DocSecurity>0</DocSecurity>
  <Lines>0</Lines>
  <Paragraphs>0</Paragraphs>
  <ScaleCrop>false</ScaleCrop>
  <LinksUpToDate>false</LinksUpToDate>
  <CharactersWithSpaces>2119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2024-04-06T03:24:00Z</cp:lastPrinted>
  <dcterms:created xsi:type="dcterms:W3CDTF">2024-02-05T23:47:00Z</dcterms:created>
  <dcterms:modified xsi:type="dcterms:W3CDTF">2024-12-18T01:40:45Z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33E44386741D474FB1DECEB098BFA2A5_13</vt:lpwstr>
  </property>
</Properties>
</file>